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Arial" w:cs="Arial" w:eastAsia="Arial" w:hAnsi="Arial"/>
          <w:b/>
          <w:bCs/>
          <w:color w:val="1F4E79"/>
          <w:sz w:val="40"/>
          <w:szCs w:val="40"/>
        </w:rPr>
        <w:t xml:space="preserve">NIGERIA RIDE-HAILING</w:t>
      </w:r>
    </w:p>
    <w:p>
      <w:pPr>
        <w:spacing w:after="80"/>
        <w:jc w:val="center"/>
      </w:pPr>
      <w:r>
        <w:rPr>
          <w:rFonts w:ascii="Arial" w:cs="Arial" w:eastAsia="Arial" w:hAnsi="Arial"/>
          <w:color w:val="2E86AB"/>
          <w:sz w:val="32"/>
          <w:szCs w:val="32"/>
        </w:rPr>
        <w:t xml:space="preserve">Market Intelligence Report</w:t>
      </w:r>
    </w:p>
    <w:p>
      <w:pPr>
        <w:spacing w:after="200"/>
        <w:jc w:val="center"/>
      </w:pPr>
      <w:r>
        <w:rPr>
          <w:rFonts w:ascii="Arial" w:cs="Arial" w:eastAsia="Arial" w:hAnsi="Arial"/>
          <w:color w:val="555555"/>
          <w:sz w:val="22"/>
          <w:szCs w:val="22"/>
        </w:rPr>
        <w:t xml:space="preserve">Uber • Bolt • inDrive • LagRide</w:t>
      </w:r>
    </w:p>
    <w:p>
      <w:pPr>
        <w:spacing w:after="40"/>
        <w:jc w:val="center"/>
      </w:pPr>
      <w:r>
        <w:rPr>
          <w:rFonts w:ascii="Arial" w:cs="Arial" w:eastAsia="Arial" w:hAnsi="Arial"/>
          <w:color w:val="666666"/>
          <w:sz w:val="20"/>
          <w:szCs w:val="20"/>
        </w:rPr>
        <w:t xml:space="preserve">Focus: Lagos &amp; National Context</w:t>
      </w:r>
    </w:p>
    <w:p>
      <w:pPr>
        <w:spacing w:after="40"/>
        <w:jc w:val="center"/>
      </w:pPr>
      <w:r>
        <w:rPr>
          <w:rFonts w:ascii="Arial" w:cs="Arial" w:eastAsia="Arial" w:hAnsi="Arial"/>
          <w:i/>
          <w:iCs/>
          <w:color w:val="666666"/>
          <w:sz w:val="18"/>
          <w:szCs w:val="18"/>
        </w:rPr>
        <w:t xml:space="preserve">Data as of early September 2026  |  Uber exit effective 2 September 2026</w:t>
      </w:r>
    </w:p>
    <w:p>
      <w:pPr>
        <w:spacing w:after="300"/>
        <w:jc w:val="center"/>
      </w:pPr>
      <w:r>
        <w:rPr>
          <w:rFonts w:ascii="Arial" w:cs="Arial" w:eastAsia="Arial" w:hAnsi="Arial"/>
          <w:i/>
          <w:iCs/>
          <w:color w:val="888888"/>
          <w:sz w:val="17"/>
          <w:szCs w:val="17"/>
        </w:rPr>
        <w:t xml:space="preserve">Prepared from secondary public sources only. All major figures labelled as Sourced, Estimated, or Assumption.</w:t>
      </w:r>
    </w:p>
    <w:p>
      <w:pPr>
        <w:pStyle w:val="Heading1"/>
      </w:pPr>
      <w:r>
        <w:t xml:space="preserve">1. Executive Summary</w:t>
      </w:r>
    </w:p>
    <w:p>
      <w:pPr>
        <w:spacing w:after="120" w:before="0"/>
      </w:pPr>
      <w:r>
        <w:rPr>
          <w:rFonts w:ascii="Arial" w:cs="Arial" w:eastAsia="Arial" w:hAnsi="Arial"/>
          <w:b w:val="false"/>
          <w:bCs w:val="false"/>
          <w:i w:val="false"/>
          <w:iCs w:val="false"/>
          <w:color w:val="000000"/>
          <w:sz w:val="22"/>
          <w:szCs w:val="22"/>
        </w:rPr>
        <w:t xml:space="preserve">Uber ceased operations in Nigeria on 2 September 2026 after 12 years. The resulting supply and demand redistribution creates a window for Bolt, inDrive, LagRide and potential new entrants. The market remains highly price-sensitive, with challenging unit economics driven by fuel costs and intense multi-homing by drivers.</w:t>
      </w:r>
    </w:p>
    <w:p>
      <w:pPr>
        <w:spacing w:after="120" w:before="0"/>
      </w:pPr>
      <w:r>
        <w:rPr>
          <w:rFonts w:ascii="Arial" w:cs="Arial" w:eastAsia="Arial" w:hAnsi="Arial"/>
          <w:b w:val="false"/>
          <w:bCs w:val="false"/>
          <w:i w:val="false"/>
          <w:iCs w:val="false"/>
          <w:color w:val="000000"/>
          <w:sz w:val="22"/>
          <w:szCs w:val="22"/>
        </w:rPr>
        <w:t xml:space="preserve">Core ride-hailing revenue is estimated in the US$250–280 million range (2024–25), with broader urban mobility estimates closer to US$400–450 million. Growth projections remain positive (roughly 9–11% CAGR in major forecasts).</w:t>
      </w:r>
    </w:p>
    <w:p>
      <w:pPr>
        <w:spacing w:after="120" w:before="0"/>
      </w:pPr>
      <w:r>
        <w:rPr>
          <w:rFonts w:ascii="Arial" w:cs="Arial" w:eastAsia="Arial" w:hAnsi="Arial"/>
          <w:b w:val="false"/>
          <w:bCs w:val="false"/>
          <w:i w:val="false"/>
          <w:iCs w:val="false"/>
          <w:color w:val="000000"/>
          <w:sz w:val="22"/>
          <w:szCs w:val="22"/>
        </w:rPr>
        <w:t xml:space="preserve">Key structural gaps that a new entrant can exploit include: thin driver net earnings under high take-rates, destination discrimination and post-acceptance price renegotiation (“add small”), inconsistent vehicle quality and safety perception, and rigid pricing models that handle fuel volatility poorly.</w:t>
      </w:r>
    </w:p>
    <w:p>
      <w:pPr>
        <w:spacing w:after="120" w:before="0"/>
      </w:pPr>
      <w:r>
        <w:rPr>
          <w:rFonts w:ascii="Arial" w:cs="Arial" w:eastAsia="Arial" w:hAnsi="Arial"/>
          <w:b w:val="false"/>
          <w:bCs w:val="false"/>
          <w:i w:val="false"/>
          <w:iCs w:val="false"/>
          <w:color w:val="000000"/>
          <w:sz w:val="22"/>
          <w:szCs w:val="22"/>
        </w:rPr>
        <w:t xml:space="preserve">This report synthesises secondary public data into a market intelligence view. Sections that rely on estimates or reasoned judgement are clearly flagged. Areas requiring primary research (detailed segmentation, acquisition channel performance, partnerships) are noted as gaps.</w:t>
      </w:r>
    </w:p>
    <w:p>
      <w:pPr>
        <w:pStyle w:val="Heading1"/>
      </w:pPr>
      <w:r>
        <w:t xml:space="preserve">2. Market Size, Growth and Opportunity</w:t>
      </w:r>
    </w:p>
    <w:p>
      <w:pPr>
        <w:pStyle w:val="Heading2"/>
      </w:pPr>
      <w:r>
        <w:t xml:space="preserve">2.1 Revenue and User Estimates</w:t>
      </w:r>
    </w:p>
    <w:p>
      <w:pPr>
        <w:spacing w:after="120" w:before="0"/>
      </w:pPr>
      <w:r>
        <w:rPr>
          <w:rFonts w:ascii="Arial" w:cs="Arial" w:eastAsia="Arial" w:hAnsi="Arial"/>
          <w:b w:val="false"/>
          <w:bCs w:val="false"/>
          <w:i/>
          <w:iCs/>
          <w:color w:val="555555"/>
          <w:sz w:val="20"/>
          <w:szCs w:val="20"/>
        </w:rPr>
        <w:t xml:space="preserve">The following figures are drawn from secondary public sources. Methodologies differ (platform revenue vs gross booking value vs broader mobility), so ranges are more reliable than point estimates.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4024"/>
      </w:tblGrid>
      <w:tr>
        <w:tc>
          <w:tcPr>
            <w:tcW w:type="dxa" w:w="32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7"/>
                <w:szCs w:val="17"/>
              </w:rPr>
              <w:t xml:space="preserve">Source / Metric</w:t>
            </w:r>
          </w:p>
        </w:tc>
        <w:tc>
          <w:tcPr>
            <w:tcW w:type="dxa" w:w="14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7"/>
                <w:szCs w:val="17"/>
              </w:rPr>
              <w:t xml:space="preserve">Period</w:t>
            </w:r>
          </w:p>
        </w:tc>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7"/>
                <w:szCs w:val="17"/>
              </w:rPr>
              <w:t xml:space="preserve">Value</w:t>
            </w:r>
          </w:p>
        </w:tc>
        <w:tc>
          <w:tcPr>
            <w:tcW w:type="dxa" w:w="4024"/>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7"/>
                <w:szCs w:val="17"/>
              </w:rPr>
              <w:t xml:space="preserve">Notes / Projection</w:t>
            </w:r>
          </w:p>
        </w:tc>
      </w:tr>
      <w:tr>
        <w:tc>
          <w:tcPr>
            <w:tcW w:type="dxa" w:w="32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Statista – Ride-hailing revenue</w:t>
            </w:r>
          </w:p>
        </w:tc>
        <w:tc>
          <w:tcPr>
            <w:tcW w:type="dxa" w:w="14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2025</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US$276.5m</w:t>
            </w:r>
          </w:p>
        </w:tc>
        <w:tc>
          <w:tcPr>
            <w:tcW w:type="dxa" w:w="40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CAGR ~9.91% to US$443m by 2030; Users ~42m; ARPU US$8.83 (Sourced)</w:t>
            </w:r>
          </w:p>
        </w:tc>
      </w:tr>
      <w:tr>
        <w:tc>
          <w:tcPr>
            <w:tcW w:type="dxa" w:w="32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Statista-linked / Marketing Edge</w:t>
            </w:r>
          </w:p>
        </w:tc>
        <w:tc>
          <w:tcPr>
            <w:tcW w:type="dxa" w:w="14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2024</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US$252.7m</w:t>
            </w:r>
          </w:p>
        </w:tc>
        <w:tc>
          <w:tcPr>
            <w:tcW w:type="dxa" w:w="4024"/>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to US$380m by 2028 (CAGR 10.74%); Users ~36.9m (Sourced)</w:t>
            </w:r>
          </w:p>
        </w:tc>
      </w:tr>
      <w:tr>
        <w:tc>
          <w:tcPr>
            <w:tcW w:type="dxa" w:w="32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Broader urban mobility</w:t>
            </w:r>
          </w:p>
        </w:tc>
        <w:tc>
          <w:tcPr>
            <w:tcW w:type="dxa" w:w="14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2025–26</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US$400–450m</w:t>
            </w:r>
          </w:p>
        </w:tc>
        <w:tc>
          <w:tcPr>
            <w:tcW w:type="dxa" w:w="40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Higher scope includes related services (Estimated range from industry reports)</w:t>
            </w:r>
          </w:p>
        </w:tc>
      </w:tr>
      <w:tr>
        <w:tc>
          <w:tcPr>
            <w:tcW w:type="dxa" w:w="32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Africa ride-hailing (Mordor)</w:t>
            </w:r>
          </w:p>
        </w:tc>
        <w:tc>
          <w:tcPr>
            <w:tcW w:type="dxa" w:w="14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2025</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US$2.53bn</w:t>
            </w:r>
          </w:p>
        </w:tc>
        <w:tc>
          <w:tcPr>
            <w:tcW w:type="dxa" w:w="4024"/>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to US$3.25bn by 2031, CAGR 4.25% (Sourced)</w:t>
            </w:r>
          </w:p>
        </w:tc>
      </w:tr>
      <w:tr>
        <w:tc>
          <w:tcPr>
            <w:tcW w:type="dxa" w:w="32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Gig economy (Bolt/Ipsos)</w:t>
            </w:r>
          </w:p>
        </w:tc>
        <w:tc>
          <w:tcPr>
            <w:tcW w:type="dxa" w:w="14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2024/25</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US$5.17bn</w:t>
            </w:r>
          </w:p>
        </w:tc>
        <w:tc>
          <w:tcPr>
            <w:tcW w:type="dxa" w:w="40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Ride-hailing ~24% of participants; ~3m gig workers (Sourced)</w:t>
            </w:r>
          </w:p>
        </w:tc>
      </w:tr>
    </w:tbl>
    <w:p>
      <w:pPr>
        <w:spacing w:after="120" w:before="160"/>
      </w:pPr>
      <w:r>
        <w:rPr>
          <w:rFonts w:ascii="Arial" w:cs="Arial" w:eastAsia="Arial" w:hAnsi="Arial"/>
          <w:b w:val="false"/>
          <w:bCs w:val="false"/>
          <w:i w:val="false"/>
          <w:iCs w:val="false"/>
          <w:color w:val="000000"/>
          <w:sz w:val="22"/>
          <w:szCs w:val="22"/>
        </w:rPr>
        <w:t xml:space="preserve">Bolt reported 250 million cumulative rides in Nigeria by mid-2023 (company disclosure), implying a meaningful historical base of ~35–40 million rides per year on average.</w:t>
      </w:r>
    </w:p>
    <w:p>
      <w:pPr>
        <w:pStyle w:val="Heading2"/>
      </w:pPr>
      <w:r>
        <w:t xml:space="preserve">2.2 Post-Uber Opportunity</w:t>
      </w:r>
    </w:p>
    <w:p>
      <w:pPr>
        <w:spacing w:after="120" w:before="0"/>
      </w:pPr>
      <w:r>
        <w:rPr>
          <w:rFonts w:ascii="Arial" w:cs="Arial" w:eastAsia="Arial" w:hAnsi="Arial"/>
          <w:b w:val="false"/>
          <w:bCs w:val="false"/>
          <w:i w:val="false"/>
          <w:iCs w:val="false"/>
          <w:color w:val="000000"/>
          <w:sz w:val="22"/>
          <w:szCs w:val="22"/>
        </w:rPr>
        <w:t xml:space="preserve">Uber’s exit on 2 September 2026 removes a major (if high-commission) competitor. Supply can reallocate relatively quickly because drivers multi-home. Primary beneficiaries in the near term are:</w:t>
      </w:r>
    </w:p>
    <w:p>
      <w:pPr>
        <w:pStyle w:val="ListParagraph"/>
        <w:numPr>
          <w:ilvl w:val="0"/>
          <w:numId w:val="2"/>
        </w:numPr>
        <w:spacing w:after="80"/>
      </w:pPr>
      <w:r>
        <w:rPr>
          <w:rFonts w:ascii="Arial" w:cs="Arial" w:eastAsia="Arial" w:hAnsi="Arial"/>
          <w:sz w:val="21"/>
          <w:szCs w:val="21"/>
        </w:rPr>
        <w:t xml:space="preserve">Bolt – strongest national scale and liquidity (&gt;30 cities, pre-exit share estimates of ~60–66% in some 2025 commentary).</w:t>
      </w:r>
    </w:p>
    <w:p>
      <w:pPr>
        <w:pStyle w:val="ListParagraph"/>
        <w:numPr>
          <w:ilvl w:val="0"/>
          <w:numId w:val="2"/>
        </w:numPr>
        <w:spacing w:after="80"/>
      </w:pPr>
      <w:r>
        <w:rPr>
          <w:rFonts w:ascii="Arial" w:cs="Arial" w:eastAsia="Arial" w:hAnsi="Arial"/>
          <w:sz w:val="21"/>
          <w:szCs w:val="21"/>
        </w:rPr>
        <w:t xml:space="preserve">inDrive – actively recruiting Uber drivers; lowest major-player commission and negotiation model.</w:t>
      </w:r>
    </w:p>
    <w:p>
      <w:pPr>
        <w:pStyle w:val="ListParagraph"/>
        <w:numPr>
          <w:ilvl w:val="0"/>
          <w:numId w:val="2"/>
        </w:numPr>
        <w:spacing w:after="80"/>
      </w:pPr>
      <w:r>
        <w:rPr>
          <w:rFonts w:ascii="Arial" w:cs="Arial" w:eastAsia="Arial" w:hAnsi="Arial"/>
          <w:sz w:val="21"/>
          <w:szCs w:val="21"/>
        </w:rPr>
        <w:t xml:space="preserve">LagRide – Lagos-focused capacity expansion (hundreds of new vehicles) with state backing.</w:t>
      </w:r>
    </w:p>
    <w:p>
      <w:pPr>
        <w:spacing w:after="120" w:before="80"/>
      </w:pPr>
      <w:r>
        <w:rPr>
          <w:rFonts w:ascii="Arial" w:cs="Arial" w:eastAsia="Arial" w:hAnsi="Arial"/>
          <w:b w:val="false"/>
          <w:bCs w:val="false"/>
          <w:i w:val="false"/>
          <w:iCs w:val="false"/>
          <w:color w:val="000000"/>
          <w:sz w:val="22"/>
          <w:szCs w:val="22"/>
        </w:rPr>
        <w:t xml:space="preserve">Short-term risk: possible capacity tightness or longer wait times while the market rebalances. Medium-term opportunity: platforms that improve driver net economics and rider trust can gain durable share.</w:t>
      </w:r>
    </w:p>
    <w:p>
      <w:pPr>
        <w:pStyle w:val="Heading1"/>
      </w:pPr>
      <w:r>
        <w:t xml:space="preserve">3. Key Competitors</w:t>
      </w:r>
    </w:p>
    <w:p>
      <w:pPr>
        <w:pStyle w:val="Heading2"/>
      </w:pPr>
      <w:r>
        <w:t xml:space="preserve">3.1 Positioning Summary (Pre- and Post-Exit)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00"/>
        <w:gridCol w:w="2924"/>
      </w:tblGrid>
      <w:tr>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6"/>
                <w:szCs w:val="16"/>
              </w:rPr>
              <w:t xml:space="preserve">Platform</w:t>
            </w:r>
          </w:p>
        </w:tc>
        <w:tc>
          <w:tcPr>
            <w:tcW w:type="dxa" w:w="28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6"/>
                <w:szCs w:val="16"/>
              </w:rPr>
              <w:t xml:space="preserve">Pre-Exit Position</w:t>
            </w:r>
          </w:p>
        </w:tc>
        <w:tc>
          <w:tcPr>
            <w:tcW w:type="dxa" w:w="29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6"/>
                <w:szCs w:val="16"/>
              </w:rPr>
              <w:t xml:space="preserve">Post-Exit Outlook</w:t>
            </w:r>
          </w:p>
        </w:tc>
        <w:tc>
          <w:tcPr>
            <w:tcW w:type="dxa" w:w="2924"/>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6"/>
                <w:szCs w:val="16"/>
              </w:rPr>
              <w:t xml:space="preserve">Key Advantage / Risk</w:t>
            </w:r>
          </w:p>
        </w:tc>
      </w:tr>
      <w:tr>
        <w:tc>
          <w:tcPr>
            <w:tcW w:type="dxa" w:w="16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left"/>
            </w:pPr>
            <w:r>
              <w:rPr>
                <w:rFonts w:ascii="Arial" w:cs="Arial" w:eastAsia="Arial" w:hAnsi="Arial"/>
                <w:b/>
                <w:bCs/>
                <w:i w:val="false"/>
                <w:iCs w:val="false"/>
                <w:color w:val="000000"/>
                <w:sz w:val="16"/>
                <w:szCs w:val="16"/>
              </w:rPr>
              <w:t xml:space="preserve">Bolt</w:t>
            </w:r>
          </w:p>
        </w:tc>
        <w:tc>
          <w:tcPr>
            <w:tcW w:type="dxa" w:w="2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~60–66% share in some 2025 estimates; widest coverage</w:t>
            </w:r>
          </w:p>
        </w:tc>
        <w:tc>
          <w:tcPr>
            <w:tcW w:type="dxa" w:w="29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Strongest absorber of drivers &amp; riders; reaffirmed commitment</w:t>
            </w:r>
          </w:p>
        </w:tc>
        <w:tc>
          <w:tcPr>
            <w:tcW w:type="dxa" w:w="29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Advantage: scale &amp; liquidity. Risk: commission pressure, surge perception</w:t>
            </w:r>
          </w:p>
        </w:tc>
      </w:tr>
      <w:tr>
        <w:tc>
          <w:tcPr>
            <w:tcW w:type="dxa" w:w="1600"/>
            <w:tcBorders>
              <w:top w:val="single" w:color="CCCCCC" w:sz="1"/>
              <w:left w:val="single" w:color="CCCCCC" w:sz="1"/>
              <w:bottom w:val="single" w:color="CCCCCC" w:sz="1"/>
              <w:right w:val="single" w:color="CCCCCC" w:sz="1"/>
            </w:tcBorders>
            <w:shd w:fill="D6EAF8" w:val="clear"/>
            <w:tcMar>
              <w:top w:type="dxa" w:w="50"/>
              <w:left w:type="dxa" w:w="70"/>
              <w:bottom w:type="dxa" w:w="50"/>
              <w:right w:type="dxa" w:w="70"/>
            </w:tcMar>
          </w:tcPr>
          <w:p>
            <w:pPr>
              <w:jc w:val="left"/>
            </w:pPr>
            <w:r>
              <w:rPr>
                <w:rFonts w:ascii="Arial" w:cs="Arial" w:eastAsia="Arial" w:hAnsi="Arial"/>
                <w:b/>
                <w:bCs/>
                <w:i w:val="false"/>
                <w:iCs w:val="false"/>
                <w:color w:val="000000"/>
                <w:sz w:val="16"/>
                <w:szCs w:val="16"/>
              </w:rPr>
              <w:t xml:space="preserve">inDrive</w:t>
            </w:r>
          </w:p>
        </w:tc>
        <w:tc>
          <w:tcPr>
            <w:tcW w:type="dxa" w:w="2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Strong growth; high driver preference in some polls</w:t>
            </w:r>
          </w:p>
        </w:tc>
        <w:tc>
          <w:tcPr>
            <w:tcW w:type="dxa" w:w="29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Actively recruiting Uber fleets; negotiation model resilient</w:t>
            </w:r>
          </w:p>
        </w:tc>
        <w:tc>
          <w:tcPr>
            <w:tcW w:type="dxa" w:w="29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Advantage: lowest commission + price leadership. Risk: quality &amp; safety perception</w:t>
            </w:r>
          </w:p>
        </w:tc>
      </w:tr>
      <w:tr>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bCs/>
                <w:i w:val="false"/>
                <w:iCs w:val="false"/>
                <w:color w:val="000000"/>
                <w:sz w:val="16"/>
                <w:szCs w:val="16"/>
              </w:rPr>
              <w:t xml:space="preserve">LagRide</w:t>
            </w:r>
          </w:p>
        </w:tc>
        <w:tc>
          <w:tcPr>
            <w:tcW w:type="dxa" w:w="2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Significant Lagos presence (state-backed)</w:t>
            </w:r>
          </w:p>
        </w:tc>
        <w:tc>
          <w:tcPr>
            <w:tcW w:type="dxa" w:w="29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Expanding capacity (e.g. 400+ new vehicles)</w:t>
            </w:r>
          </w:p>
        </w:tc>
        <w:tc>
          <w:tcPr>
            <w:tcW w:type="dxa" w:w="29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Advantage: local legitimacy. Risk: limited national reach</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bCs/>
                <w:i w:val="false"/>
                <w:iCs w:val="false"/>
                <w:color w:val="000000"/>
                <w:sz w:val="16"/>
                <w:szCs w:val="16"/>
              </w:rPr>
              <w:t xml:space="preserve">Uber (exited)</w:t>
            </w:r>
          </w:p>
        </w:tc>
        <w:tc>
          <w:tcPr>
            <w:tcW w:type="dxa" w:w="28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Major player; highest typical commission (~25%)</w:t>
            </w:r>
          </w:p>
        </w:tc>
        <w:tc>
          <w:tcPr>
            <w:tcW w:type="dxa" w:w="29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Operations ceased 2 Sep 2026</w:t>
            </w:r>
          </w:p>
        </w:tc>
        <w:tc>
          <w:tcPr>
            <w:tcW w:type="dxa" w:w="2924"/>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5"/>
                <w:szCs w:val="15"/>
              </w:rPr>
              <w:t xml:space="preserve">Exit linked to evolving priorities and difficult unit economics</w:t>
            </w:r>
          </w:p>
        </w:tc>
      </w:tr>
    </w:tbl>
    <w:p>
      <w:pPr>
        <w:pStyle w:val="Heading2"/>
      </w:pPr>
      <w:r>
        <w:t xml:space="preserve">3.2 Competitive Strengths &amp; Weaknesses</w:t>
      </w:r>
    </w:p>
    <w:p>
      <w:pPr>
        <w:spacing w:after="120" w:before="0"/>
      </w:pPr>
      <w:r>
        <w:rPr>
          <w:rFonts w:ascii="Arial" w:cs="Arial" w:eastAsia="Arial" w:hAnsi="Arial"/>
          <w:b w:val="false"/>
          <w:bCs w:val="false"/>
          <w:i w:val="false"/>
          <w:iCs w:val="false"/>
          <w:color w:val="000000"/>
          <w:sz w:val="22"/>
          <w:szCs w:val="22"/>
        </w:rPr>
        <w:t xml:space="preserve">Bolt: Strength in coverage, brand familiarity and vehicle standards. Weakness in driver commission perception and surge pricing friction.</w:t>
      </w:r>
    </w:p>
    <w:p>
      <w:pPr>
        <w:spacing w:after="120" w:before="0"/>
      </w:pPr>
      <w:r>
        <w:rPr>
          <w:rFonts w:ascii="Arial" w:cs="Arial" w:eastAsia="Arial" w:hAnsi="Arial"/>
          <w:b w:val="false"/>
          <w:bCs w:val="false"/>
          <w:i w:val="false"/>
          <w:iCs w:val="false"/>
          <w:color w:val="000000"/>
          <w:sz w:val="22"/>
          <w:szCs w:val="22"/>
        </w:rPr>
        <w:t xml:space="preserve">inDrive: Strength in driver preference (low take-rate) and price competitiveness. Weakness in variable vehicle quality, safety headlines, and bidding friction for some riders.</w:t>
      </w:r>
    </w:p>
    <w:p>
      <w:pPr>
        <w:spacing w:after="120" w:before="0"/>
      </w:pPr>
      <w:r>
        <w:rPr>
          <w:rFonts w:ascii="Arial" w:cs="Arial" w:eastAsia="Arial" w:hAnsi="Arial"/>
          <w:b w:val="false"/>
          <w:bCs w:val="false"/>
          <w:i w:val="false"/>
          <w:iCs w:val="false"/>
          <w:color w:val="000000"/>
          <w:sz w:val="22"/>
          <w:szCs w:val="22"/>
        </w:rPr>
        <w:t xml:space="preserve">LagRide: Strength in Lagos legitimacy and potential shared-ride options. Weakness in geographic reach versus national players.</w:t>
      </w:r>
    </w:p>
    <w:p>
      <w:pPr>
        <w:pStyle w:val="Heading1"/>
      </w:pPr>
      <w:r>
        <w:t xml:space="preserve">4. Pricing, Commissions and Driver Economics</w:t>
      </w:r>
    </w:p>
    <w:p>
      <w:pPr>
        <w:pStyle w:val="Heading2"/>
      </w:pPr>
      <w:r>
        <w:t xml:space="preserve">4.1 Commission Rates (Typical 2025–2026)</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4424"/>
      </w:tblGrid>
      <w:tr>
        <w:tc>
          <w:tcPr>
            <w:tcW w:type="dxa" w:w="18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7"/>
                <w:szCs w:val="17"/>
              </w:rPr>
              <w:t xml:space="preserve">Platform</w:t>
            </w:r>
          </w:p>
        </w:tc>
        <w:tc>
          <w:tcPr>
            <w:tcW w:type="dxa" w:w="18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7"/>
                <w:szCs w:val="17"/>
              </w:rPr>
              <w:t xml:space="preserve">Typical Commission</w:t>
            </w:r>
          </w:p>
        </w:tc>
        <w:tc>
          <w:tcPr>
            <w:tcW w:type="dxa" w:w="22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7"/>
                <w:szCs w:val="17"/>
              </w:rPr>
              <w:t xml:space="preserve">Driver Keep (approx)</w:t>
            </w:r>
          </w:p>
        </w:tc>
        <w:tc>
          <w:tcPr>
            <w:tcW w:type="dxa" w:w="4424"/>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left"/>
            </w:pPr>
            <w:r>
              <w:rPr>
                <w:rFonts w:ascii="Arial" w:cs="Arial" w:eastAsia="Arial" w:hAnsi="Arial"/>
                <w:b/>
                <w:bCs/>
                <w:i w:val="false"/>
                <w:iCs w:val="false"/>
                <w:color w:val="000000"/>
                <w:sz w:val="17"/>
                <w:szCs w:val="17"/>
              </w:rPr>
              <w:t xml:space="preserve">inDrive</w:t>
            </w:r>
          </w:p>
        </w:tc>
        <w:tc>
          <w:tcPr>
            <w:tcW w:type="dxa" w:w="18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~9% (range 8–10%)</w:t>
            </w:r>
          </w:p>
        </w:tc>
        <w:tc>
          <w:tcPr>
            <w:tcW w:type="dxa" w:w="22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~91%</w:t>
            </w:r>
          </w:p>
        </w:tc>
        <w:tc>
          <w:tcPr>
            <w:tcW w:type="dxa" w:w="4424"/>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Lowest major player; promotional rates reported; negotiation model (Sourced ranges)</w:t>
            </w:r>
          </w:p>
        </w:tc>
      </w:tr>
      <w:tr>
        <w:tc>
          <w:tcPr>
            <w:tcW w:type="dxa" w:w="1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Bolt</w:t>
            </w:r>
          </w:p>
        </w:tc>
        <w:tc>
          <w:tcPr>
            <w:tcW w:type="dxa" w:w="1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~20% (range 15–25%)</w:t>
            </w:r>
          </w:p>
        </w:tc>
        <w:tc>
          <w:tcPr>
            <w:tcW w:type="dxa" w:w="22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~80%</w:t>
            </w:r>
          </w:p>
        </w:tc>
        <w:tc>
          <w:tcPr>
            <w:tcW w:type="dxa" w:w="44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Performance-based reductions tested; AUATON pressure for cuts (Sourced ranges)</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7"/>
                <w:szCs w:val="17"/>
              </w:rPr>
              <w:t xml:space="preserve">Uber (pre-exit)</w:t>
            </w:r>
          </w:p>
        </w:tc>
        <w:tc>
          <w:tcPr>
            <w:tcW w:type="dxa" w:w="18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7"/>
                <w:szCs w:val="17"/>
              </w:rPr>
              <w:t xml:space="preserve">~25% (up to 30–35% reported)</w:t>
            </w:r>
          </w:p>
        </w:tc>
        <w:tc>
          <w:tcPr>
            <w:tcW w:type="dxa" w:w="22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bCs/>
                <w:i w:val="false"/>
                <w:iCs w:val="false"/>
                <w:color w:val="000000"/>
                <w:sz w:val="17"/>
                <w:szCs w:val="17"/>
              </w:rPr>
              <w:t xml:space="preserve">~75%</w:t>
            </w:r>
          </w:p>
        </w:tc>
        <w:tc>
          <w:tcPr>
            <w:tcW w:type="dxa" w:w="4424"/>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Highest among majors; major driver complaint factor (Sourced ranges)</w:t>
            </w:r>
          </w:p>
        </w:tc>
      </w:tr>
    </w:tbl>
    <w:p>
      <w:pPr>
        <w:pStyle w:val="Heading2"/>
      </w:pPr>
      <w:r>
        <w:t xml:space="preserve">4.2 Lagos Route Pricing (Off-peak / Mid-day Approximate Ranges)</w:t>
      </w:r>
    </w:p>
    <w:p>
      <w:pPr>
        <w:spacing w:after="120" w:before="0"/>
      </w:pPr>
      <w:r>
        <w:rPr>
          <w:rFonts w:ascii="Arial" w:cs="Arial" w:eastAsia="Arial" w:hAnsi="Arial"/>
          <w:b w:val="false"/>
          <w:bCs w:val="false"/>
          <w:i/>
          <w:iCs/>
          <w:color w:val="555555"/>
          <w:sz w:val="19"/>
          <w:szCs w:val="19"/>
        </w:rPr>
        <w:t xml:space="preserve">All figures in NGN. Mid-points calculated from published ranges. Actual live quotes vary with traffic, rain, demand and fuel.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1600"/>
        <w:gridCol w:w="2424"/>
      </w:tblGrid>
      <w:tr>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6"/>
                <w:szCs w:val="16"/>
              </w:rPr>
              <w:t xml:space="preserve">Category</w:t>
            </w:r>
          </w:p>
        </w:tc>
        <w:tc>
          <w:tcPr>
            <w:tcW w:type="dxa" w:w="14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Dist (km)</w:t>
            </w:r>
          </w:p>
        </w:tc>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inDrive Mid</w:t>
            </w:r>
          </w:p>
        </w:tc>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Bolt Mid</w:t>
            </w:r>
          </w:p>
        </w:tc>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Uber Mid</w:t>
            </w:r>
          </w:p>
        </w:tc>
        <w:tc>
          <w:tcPr>
            <w:tcW w:type="dxa" w:w="2424"/>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5"/>
                <w:szCs w:val="15"/>
              </w:rPr>
              <w:t xml:space="preserve">inDrive Savings vs Bolt/Uber</w:t>
            </w:r>
          </w:p>
        </w:tc>
      </w:tr>
      <w:tr>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Short</w:t>
            </w:r>
          </w:p>
        </w:tc>
        <w:tc>
          <w:tcPr>
            <w:tcW w:type="dxa" w:w="14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5–8</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900</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1,350</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1,550</w:t>
            </w:r>
          </w:p>
        </w:tc>
        <w:tc>
          <w:tcPr>
            <w:tcW w:type="dxa" w:w="2424"/>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~33% / ~42%</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10–15</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1,600</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2,650</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3,250</w:t>
            </w:r>
          </w:p>
        </w:tc>
        <w:tc>
          <w:tcPr>
            <w:tcW w:type="dxa" w:w="2424"/>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~40% / ~51%</w:t>
            </w:r>
          </w:p>
        </w:tc>
      </w:tr>
      <w:tr>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Longer</w:t>
            </w:r>
          </w:p>
        </w:tc>
        <w:tc>
          <w:tcPr>
            <w:tcW w:type="dxa" w:w="14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20–30</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2,400</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4,450</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5,950</w:t>
            </w:r>
          </w:p>
        </w:tc>
        <w:tc>
          <w:tcPr>
            <w:tcW w:type="dxa" w:w="2424"/>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~46% / ~60%</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10 km avg</w:t>
            </w:r>
          </w:p>
        </w:tc>
        <w:tc>
          <w:tcPr>
            <w:tcW w:type="dxa" w:w="14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10</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1,500</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2,000</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2,500</w:t>
            </w:r>
          </w:p>
        </w:tc>
        <w:tc>
          <w:tcPr>
            <w:tcW w:type="dxa" w:w="2424"/>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~25% / ~40%</w:t>
            </w:r>
          </w:p>
        </w:tc>
      </w:tr>
    </w:tbl>
    <w:p>
      <w:pPr>
        <w:spacing w:after="120" w:before="120"/>
      </w:pPr>
      <w:r>
        <w:rPr>
          <w:rFonts w:ascii="Arial" w:cs="Arial" w:eastAsia="Arial" w:hAnsi="Arial"/>
          <w:b w:val="false"/>
          <w:bCs w:val="false"/>
          <w:i w:val="false"/>
          <w:iCs w:val="false"/>
          <w:color w:val="000000"/>
          <w:sz w:val="20"/>
          <w:szCs w:val="20"/>
        </w:rPr>
        <w:t xml:space="preserve">inDrive’s advantage comes from rider-proposed fares and the absence of algorithmic surge. Bolt and Uber use base + distance + time + surge (commonly 1.5–2.5× in rain or peak). “Add small” cash requests after acceptance are widely reported across platforms. (Directional ranges from public 2025–early 2026 comparisons.)</w:t>
      </w:r>
    </w:p>
    <w:p>
      <w:pPr>
        <w:pStyle w:val="Heading2"/>
      </w:pPr>
      <w:r>
        <w:t xml:space="preserve">4.3 Illustrative Driver Unit Economics (10 km trip)</w:t>
      </w:r>
    </w:p>
    <w:p>
      <w:pPr>
        <w:spacing w:after="120" w:before="0"/>
      </w:pPr>
      <w:r>
        <w:rPr>
          <w:rFonts w:ascii="Arial" w:cs="Arial" w:eastAsia="Arial" w:hAnsi="Arial"/>
          <w:b w:val="false"/>
          <w:bCs w:val="false"/>
          <w:i/>
          <w:iCs/>
          <w:color w:val="555555"/>
          <w:sz w:val="19"/>
          <w:szCs w:val="19"/>
        </w:rPr>
        <w:t xml:space="preserve">Assumptions used: inDrive fare 1,500 / Bolt 2,000 / Uber 2,500 NGN; commissions 9% / 20% / 25%; fuel + other variable costs 950 NGN. Fuel cost is the dominant and most volatile input.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1700"/>
        <w:gridCol w:w="1724"/>
      </w:tblGrid>
      <w:tr>
        <w:tc>
          <w:tcPr>
            <w:tcW w:type="dxa" w:w="18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i w:val="false"/>
                <w:iCs w:val="false"/>
                <w:color w:val="FFFFFF"/>
                <w:sz w:val="16"/>
                <w:szCs w:val="16"/>
              </w:rPr>
              <w:t xml:space="preserve">Platform</w:t>
            </w:r>
          </w:p>
        </w:tc>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Gross Fare</w:t>
            </w:r>
          </w:p>
        </w:tc>
        <w:tc>
          <w:tcPr>
            <w:tcW w:type="dxa" w:w="16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Commission</w:t>
            </w:r>
          </w:p>
        </w:tc>
        <w:tc>
          <w:tcPr>
            <w:tcW w:type="dxa" w:w="18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After Commission</w:t>
            </w:r>
          </w:p>
        </w:tc>
        <w:tc>
          <w:tcPr>
            <w:tcW w:type="dxa" w:w="1700"/>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Net Take-Home</w:t>
            </w:r>
          </w:p>
        </w:tc>
        <w:tc>
          <w:tcPr>
            <w:tcW w:type="dxa" w:w="1724"/>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i w:val="false"/>
                <w:iCs w:val="false"/>
                <w:color w:val="FFFFFF"/>
                <w:sz w:val="16"/>
                <w:szCs w:val="16"/>
              </w:rPr>
              <w:t xml:space="preserve">Net % of Fare</w:t>
            </w:r>
          </w:p>
        </w:tc>
      </w:tr>
      <w:tr>
        <w:tc>
          <w:tcPr>
            <w:tcW w:type="dxa" w:w="18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left"/>
            </w:pPr>
            <w:r>
              <w:rPr>
                <w:rFonts w:ascii="Arial" w:cs="Arial" w:eastAsia="Arial" w:hAnsi="Arial"/>
                <w:b/>
                <w:bCs/>
                <w:i w:val="false"/>
                <w:iCs w:val="false"/>
                <w:color w:val="000000"/>
                <w:sz w:val="16"/>
                <w:szCs w:val="16"/>
              </w:rPr>
              <w:t xml:space="preserve">inDrive</w:t>
            </w:r>
          </w:p>
        </w:tc>
        <w:tc>
          <w:tcPr>
            <w:tcW w:type="dxa" w:w="16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1,500</w:t>
            </w:r>
          </w:p>
        </w:tc>
        <w:tc>
          <w:tcPr>
            <w:tcW w:type="dxa" w:w="16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135</w:t>
            </w:r>
          </w:p>
        </w:tc>
        <w:tc>
          <w:tcPr>
            <w:tcW w:type="dxa" w:w="18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1,365</w:t>
            </w:r>
          </w:p>
        </w:tc>
        <w:tc>
          <w:tcPr>
            <w:tcW w:type="dxa" w:w="1700"/>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415</w:t>
            </w:r>
          </w:p>
        </w:tc>
        <w:tc>
          <w:tcPr>
            <w:tcW w:type="dxa" w:w="1724"/>
            <w:tcBorders>
              <w:top w:val="single" w:color="CCCCCC" w:sz="1"/>
              <w:left w:val="single" w:color="CCCCCC" w:sz="1"/>
              <w:bottom w:val="single" w:color="CCCCCC" w:sz="1"/>
              <w:right w:val="single" w:color="CCCCCC" w:sz="1"/>
            </w:tcBorders>
            <w:shd w:fill="D5F5E3"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~28%</w:t>
            </w:r>
          </w:p>
        </w:tc>
      </w:tr>
      <w:tr>
        <w:tc>
          <w:tcPr>
            <w:tcW w:type="dxa" w:w="1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Bolt</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2,000</w:t>
            </w:r>
          </w:p>
        </w:tc>
        <w:tc>
          <w:tcPr>
            <w:tcW w:type="dxa" w:w="16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400</w:t>
            </w:r>
          </w:p>
        </w:tc>
        <w:tc>
          <w:tcPr>
            <w:tcW w:type="dxa" w:w="18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1,600</w:t>
            </w:r>
          </w:p>
        </w:tc>
        <w:tc>
          <w:tcPr>
            <w:tcW w:type="dxa" w:w="1700"/>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650</w:t>
            </w:r>
          </w:p>
        </w:tc>
        <w:tc>
          <w:tcPr>
            <w:tcW w:type="dxa" w:w="172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~33%</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left"/>
            </w:pPr>
            <w:r>
              <w:rPr>
                <w:rFonts w:ascii="Arial" w:cs="Arial" w:eastAsia="Arial" w:hAnsi="Arial"/>
                <w:b w:val="false"/>
                <w:bCs w:val="false"/>
                <w:i w:val="false"/>
                <w:iCs w:val="false"/>
                <w:color w:val="000000"/>
                <w:sz w:val="16"/>
                <w:szCs w:val="16"/>
              </w:rPr>
              <w:t xml:space="preserve">Uber (pre-exit)</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2,500</w:t>
            </w:r>
          </w:p>
        </w:tc>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625</w:t>
            </w:r>
          </w:p>
        </w:tc>
        <w:tc>
          <w:tcPr>
            <w:tcW w:type="dxa" w:w="18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1,875</w:t>
            </w:r>
          </w:p>
        </w:tc>
        <w:tc>
          <w:tcPr>
            <w:tcW w:type="dxa" w:w="17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bCs/>
                <w:i w:val="false"/>
                <w:iCs w:val="false"/>
                <w:color w:val="000000"/>
                <w:sz w:val="16"/>
                <w:szCs w:val="16"/>
              </w:rPr>
              <w:t xml:space="preserve">925</w:t>
            </w:r>
          </w:p>
        </w:tc>
        <w:tc>
          <w:tcPr>
            <w:tcW w:type="dxa" w:w="1724"/>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jc w:val="center"/>
            </w:pPr>
            <w:r>
              <w:rPr>
                <w:rFonts w:ascii="Arial" w:cs="Arial" w:eastAsia="Arial" w:hAnsi="Arial"/>
                <w:b w:val="false"/>
                <w:bCs w:val="false"/>
                <w:i w:val="false"/>
                <w:iCs w:val="false"/>
                <w:color w:val="000000"/>
                <w:sz w:val="16"/>
                <w:szCs w:val="16"/>
              </w:rPr>
              <w:t xml:space="preserve">~37%</w:t>
            </w:r>
          </w:p>
        </w:tc>
      </w:tr>
    </w:tbl>
    <w:p>
      <w:pPr>
        <w:spacing w:after="120" w:before="120"/>
      </w:pPr>
      <w:r>
        <w:rPr>
          <w:rFonts w:ascii="Arial" w:cs="Arial" w:eastAsia="Arial" w:hAnsi="Arial"/>
          <w:b w:val="false"/>
          <w:bCs w:val="false"/>
          <w:i w:val="false"/>
          <w:iCs w:val="false"/>
          <w:color w:val="000000"/>
          <w:sz w:val="20"/>
          <w:szCs w:val="20"/>
        </w:rPr>
        <w:t xml:space="preserve">Interpretation: Higher absolute fares on Bolt/Uber can still deliver higher net under the assumed fuel cost, but only if demand accepts the higher price. In a price-sensitive market with rising fuel, the lower-take-rate model is structurally more resilient. These numbers are illustrative; actual fuel and utilisation vary widely. (Model assumptions – treat as scenario inputs, not observed averages.)</w:t>
      </w:r>
    </w:p>
    <w:p>
      <w:pPr>
        <w:pStyle w:val="Heading1"/>
      </w:pPr>
      <w:r>
        <w:t xml:space="preserve">5. Rider and Driver Pain Points</w:t>
      </w:r>
    </w:p>
    <w:p>
      <w:pPr>
        <w:spacing w:after="120" w:before="0"/>
      </w:pPr>
      <w:r>
        <w:rPr>
          <w:rFonts w:ascii="Arial" w:cs="Arial" w:eastAsia="Arial" w:hAnsi="Arial"/>
          <w:b w:val="false"/>
          <w:bCs w:val="false"/>
          <w:i/>
          <w:iCs/>
          <w:color w:val="555555"/>
          <w:sz w:val="19"/>
          <w:szCs w:val="19"/>
        </w:rPr>
        <w:t xml:space="preserve">Synthesised from App Store/Play reviews, X/Twitter, Nairaland-style forums, TechCabal, Technext24, AUATON statements and news coverage (2025–2026).</w:t>
      </w:r>
    </w:p>
    <w:p>
      <w:pPr>
        <w:pStyle w:val="Heading2"/>
      </w:pPr>
      <w:r>
        <w:t xml:space="preserve">5.1 Driver Pain Points (Highest Impact)</w:t>
      </w:r>
    </w:p>
    <w:p>
      <w:pPr>
        <w:pStyle w:val="ListParagraph"/>
        <w:numPr>
          <w:ilvl w:val="0"/>
          <w:numId w:val="2"/>
        </w:numPr>
        <w:spacing w:after="80"/>
      </w:pPr>
      <w:r>
        <w:rPr>
          <w:rFonts w:ascii="Arial" w:cs="Arial" w:eastAsia="Arial" w:hAnsi="Arial"/>
          <w:sz w:val="21"/>
          <w:szCs w:val="21"/>
        </w:rPr>
        <w:t xml:space="preserve">High commission + rising costs – Fuel and maintenance outpace fare adjustments; net earnings thin; protests and AUATON demands for 5–10% caps. Most associated with Uber (pre-exit) and Bolt.</w:t>
      </w:r>
    </w:p>
    <w:p>
      <w:pPr>
        <w:pStyle w:val="ListParagraph"/>
        <w:numPr>
          <w:ilvl w:val="0"/>
          <w:numId w:val="2"/>
        </w:numPr>
        <w:spacing w:after="80"/>
      </w:pPr>
      <w:r>
        <w:rPr>
          <w:rFonts w:ascii="Arial" w:cs="Arial" w:eastAsia="Arial" w:hAnsi="Arial"/>
          <w:sz w:val="21"/>
          <w:szCs w:val="21"/>
        </w:rPr>
        <w:t xml:space="preserve">Low / unsustainable fares – Algorithmic underpricing or bidding race-to-bottom; drivers reject or renegotiate.</w:t>
      </w:r>
    </w:p>
    <w:p>
      <w:pPr>
        <w:pStyle w:val="ListParagraph"/>
        <w:numPr>
          <w:ilvl w:val="0"/>
          <w:numId w:val="2"/>
        </w:numPr>
        <w:spacing w:after="80"/>
      </w:pPr>
      <w:r>
        <w:rPr>
          <w:rFonts w:ascii="Arial" w:cs="Arial" w:eastAsia="Arial" w:hAnsi="Arial"/>
          <w:sz w:val="21"/>
          <w:szCs w:val="21"/>
        </w:rPr>
        <w:t xml:space="preserve">Opaque penalties and deactivations – Account blocks and rating pressure without clear recourse.</w:t>
      </w:r>
    </w:p>
    <w:p>
      <w:pPr>
        <w:pStyle w:val="ListParagraph"/>
        <w:numPr>
          <w:ilvl w:val="0"/>
          <w:numId w:val="2"/>
        </w:numPr>
        <w:spacing w:after="80"/>
      </w:pPr>
      <w:r>
        <w:rPr>
          <w:rFonts w:ascii="Arial" w:cs="Arial" w:eastAsia="Arial" w:hAnsi="Arial"/>
          <w:sz w:val="21"/>
          <w:szCs w:val="21"/>
        </w:rPr>
        <w:t xml:space="preserve">Safety risks – Robberies (especially night or certain areas); limited platform support after incidents.</w:t>
      </w:r>
    </w:p>
    <w:p>
      <w:pPr>
        <w:pStyle w:val="ListParagraph"/>
        <w:numPr>
          <w:ilvl w:val="0"/>
          <w:numId w:val="2"/>
        </w:numPr>
        <w:spacing w:after="80"/>
      </w:pPr>
      <w:r>
        <w:rPr>
          <w:rFonts w:ascii="Arial" w:cs="Arial" w:eastAsia="Arial" w:hAnsi="Arial"/>
          <w:sz w:val="21"/>
          <w:szCs w:val="21"/>
        </w:rPr>
        <w:t xml:space="preserve">Payout delays – Historical complaints particularly linked to Uber.</w:t>
      </w:r>
    </w:p>
    <w:p>
      <w:pPr>
        <w:pStyle w:val="Heading2"/>
      </w:pPr>
      <w:r>
        <w:t xml:space="preserve">5.2 Rider Pain Points (Highest Impact)</w:t>
      </w:r>
    </w:p>
    <w:p>
      <w:pPr>
        <w:pStyle w:val="ListParagraph"/>
        <w:numPr>
          <w:ilvl w:val="0"/>
          <w:numId w:val="2"/>
        </w:numPr>
        <w:spacing w:after="80"/>
      </w:pPr>
      <w:r>
        <w:rPr>
          <w:rFonts w:ascii="Arial" w:cs="Arial" w:eastAsia="Arial" w:hAnsi="Arial"/>
          <w:sz w:val="21"/>
          <w:szCs w:val="21"/>
        </w:rPr>
        <w:t xml:space="preserve">Cancellations and destination discrimination – Driver accepts then cancels or calls to reject the destination. Frequently cited on Bolt.</w:t>
      </w:r>
    </w:p>
    <w:p>
      <w:pPr>
        <w:pStyle w:val="ListParagraph"/>
        <w:numPr>
          <w:ilvl w:val="0"/>
          <w:numId w:val="2"/>
        </w:numPr>
        <w:spacing w:after="80"/>
      </w:pPr>
      <w:r>
        <w:rPr>
          <w:rFonts w:ascii="Arial" w:cs="Arial" w:eastAsia="Arial" w:hAnsi="Arial"/>
          <w:sz w:val="21"/>
          <w:szCs w:val="21"/>
        </w:rPr>
        <w:t xml:space="preserve">Fare renegotiation / “add small” – Accepted price not honoured; cash top-up requested. Reported across all platforms.</w:t>
      </w:r>
    </w:p>
    <w:p>
      <w:pPr>
        <w:pStyle w:val="ListParagraph"/>
        <w:numPr>
          <w:ilvl w:val="0"/>
          <w:numId w:val="2"/>
        </w:numPr>
        <w:spacing w:after="80"/>
      </w:pPr>
      <w:r>
        <w:rPr>
          <w:rFonts w:ascii="Arial" w:cs="Arial" w:eastAsia="Arial" w:hAnsi="Arial"/>
          <w:sz w:val="21"/>
          <w:szCs w:val="21"/>
        </w:rPr>
        <w:t xml:space="preserve">Vehicle quality and AC – Poor condition or AC switched off to save fuel. More frequent reports on budget/inDrive tiers.</w:t>
      </w:r>
    </w:p>
    <w:p>
      <w:pPr>
        <w:pStyle w:val="ListParagraph"/>
        <w:numPr>
          <w:ilvl w:val="0"/>
          <w:numId w:val="2"/>
        </w:numPr>
        <w:spacing w:after="80"/>
      </w:pPr>
      <w:r>
        <w:rPr>
          <w:rFonts w:ascii="Arial" w:cs="Arial" w:eastAsia="Arial" w:hAnsi="Arial"/>
          <w:sz w:val="21"/>
          <w:szCs w:val="21"/>
        </w:rPr>
        <w:t xml:space="preserve">Safety incidents – Assaults, robberies, mismatched drivers; higher-profile 2025 media cases linked to inDrive.</w:t>
      </w:r>
    </w:p>
    <w:p>
      <w:pPr>
        <w:pStyle w:val="ListParagraph"/>
        <w:numPr>
          <w:ilvl w:val="0"/>
          <w:numId w:val="2"/>
        </w:numPr>
        <w:spacing w:after="80"/>
      </w:pPr>
      <w:r>
        <w:rPr>
          <w:rFonts w:ascii="Arial" w:cs="Arial" w:eastAsia="Arial" w:hAnsi="Arial"/>
          <w:sz w:val="21"/>
          <w:szCs w:val="21"/>
        </w:rPr>
        <w:t xml:space="preserve">Customer support – Slow or non-responsive complaint handling across platforms.</w:t>
      </w:r>
    </w:p>
    <w:p>
      <w:pPr>
        <w:pStyle w:val="ListParagraph"/>
        <w:numPr>
          <w:ilvl w:val="0"/>
          <w:numId w:val="2"/>
        </w:numPr>
        <w:spacing w:after="80"/>
      </w:pPr>
      <w:r>
        <w:rPr>
          <w:rFonts w:ascii="Arial" w:cs="Arial" w:eastAsia="Arial" w:hAnsi="Arial"/>
          <w:sz w:val="21"/>
          <w:szCs w:val="21"/>
        </w:rPr>
        <w:t xml:space="preserve">Surge / price volatility – Makes budgeting difficult (Bolt/Uber); negotiation friction on inDrive.</w:t>
      </w:r>
    </w:p>
    <w:p>
      <w:pPr>
        <w:pStyle w:val="Heading2"/>
      </w:pPr>
      <w:r>
        <w:t xml:space="preserve">5.3 Sentiment Snapshot</w:t>
      </w:r>
    </w:p>
    <w:p>
      <w:pPr>
        <w:spacing w:after="120" w:before="0"/>
      </w:pPr>
      <w:r>
        <w:rPr>
          <w:rFonts w:ascii="Arial" w:cs="Arial" w:eastAsia="Arial" w:hAnsi="Arial"/>
          <w:b w:val="false"/>
          <w:bCs w:val="false"/>
          <w:i w:val="false"/>
          <w:iCs w:val="false"/>
          <w:color w:val="000000"/>
          <w:sz w:val="22"/>
          <w:szCs w:val="22"/>
        </w:rPr>
        <w:t xml:space="preserve">Public app ratings for inDrive and Bolt remain high (~4.7–4.8). One-star themes and social conversation, however, consistently surface the pain points above. Driver preference leans toward lower commission and transparent destination; rider preference is price + reliability + safety. Pure lowest-price often trades off against quality and safety perception.</w:t>
      </w:r>
    </w:p>
    <w:p>
      <w:pPr>
        <w:pStyle w:val="Heading1"/>
      </w:pPr>
      <w:r>
        <w:t xml:space="preserve">6. Safety and Trust Gaps</w:t>
      </w:r>
    </w:p>
    <w:p>
      <w:pPr>
        <w:spacing w:after="120" w:before="0"/>
      </w:pPr>
      <w:r>
        <w:rPr>
          <w:rFonts w:ascii="Arial" w:cs="Arial" w:eastAsia="Arial" w:hAnsi="Arial"/>
          <w:b w:val="false"/>
          <w:bCs w:val="false"/>
          <w:i w:val="false"/>
          <w:iCs w:val="false"/>
          <w:color w:val="000000"/>
          <w:sz w:val="22"/>
          <w:szCs w:val="22"/>
        </w:rPr>
        <w:t xml:space="preserve">Safety and trust issues appear on both sides of the marketplace and constitute a clear differentiation opportunity.</w:t>
      </w:r>
    </w:p>
    <w:p>
      <w:pPr>
        <w:pStyle w:val="ListParagraph"/>
        <w:numPr>
          <w:ilvl w:val="0"/>
          <w:numId w:val="2"/>
        </w:numPr>
        <w:spacing w:after="80"/>
      </w:pPr>
      <w:r>
        <w:rPr>
          <w:rFonts w:ascii="Arial" w:cs="Arial" w:eastAsia="Arial" w:hAnsi="Arial"/>
          <w:sz w:val="21"/>
          <w:szCs w:val="21"/>
        </w:rPr>
        <w:t xml:space="preserve">Driver-side: physical risk (robberies) and weak post-incident support reduce willingness to work nights or certain zones.</w:t>
      </w:r>
    </w:p>
    <w:p>
      <w:pPr>
        <w:pStyle w:val="ListParagraph"/>
        <w:numPr>
          <w:ilvl w:val="0"/>
          <w:numId w:val="2"/>
        </w:numPr>
        <w:spacing w:after="80"/>
      </w:pPr>
      <w:r>
        <w:rPr>
          <w:rFonts w:ascii="Arial" w:cs="Arial" w:eastAsia="Arial" w:hAnsi="Arial"/>
          <w:sz w:val="21"/>
          <w:szCs w:val="21"/>
        </w:rPr>
        <w:t xml:space="preserve">Rider-side: high-profile incidents, mismatched drivers, and destination discrimination erode confidence.</w:t>
      </w:r>
    </w:p>
    <w:p>
      <w:pPr>
        <w:pStyle w:val="ListParagraph"/>
        <w:numPr>
          <w:ilvl w:val="0"/>
          <w:numId w:val="2"/>
        </w:numPr>
        <w:spacing w:after="80"/>
      </w:pPr>
      <w:r>
        <w:rPr>
          <w:rFonts w:ascii="Arial" w:cs="Arial" w:eastAsia="Arial" w:hAnsi="Arial"/>
          <w:sz w:val="21"/>
          <w:szCs w:val="21"/>
        </w:rPr>
        <w:t xml:space="preserve">Process gaps: limited real-time verification visibility, slow support, and inconsistent enforcement of vehicle standards.</w:t>
      </w:r>
    </w:p>
    <w:p>
      <w:pPr>
        <w:spacing w:after="120" w:before="80"/>
      </w:pPr>
      <w:r>
        <w:rPr>
          <w:rFonts w:ascii="Arial" w:cs="Arial" w:eastAsia="Arial" w:hAnsi="Arial"/>
          <w:b w:val="false"/>
          <w:bCs w:val="false"/>
          <w:i w:val="false"/>
          <w:iCs w:val="false"/>
          <w:color w:val="000000"/>
          <w:sz w:val="22"/>
          <w:szCs w:val="22"/>
        </w:rPr>
        <w:t xml:space="preserve">A new entrant that makes verification, vehicle standards, SOS response and insurance visible and reliable can convert trust into preference, especially among higher-value or safety-sensitive riders.</w:t>
      </w:r>
    </w:p>
    <w:p>
      <w:pPr>
        <w:pStyle w:val="Heading1"/>
      </w:pPr>
      <w:r>
        <w:t xml:space="preserve">7. What Could Make a New Entrant Competitive</w:t>
      </w:r>
    </w:p>
    <w:p>
      <w:pPr>
        <w:spacing w:after="120" w:before="0"/>
      </w:pPr>
      <w:r>
        <w:rPr>
          <w:rFonts w:ascii="Arial" w:cs="Arial" w:eastAsia="Arial" w:hAnsi="Arial"/>
          <w:b w:val="false"/>
          <w:bCs w:val="false"/>
          <w:i w:val="false"/>
          <w:iCs w:val="false"/>
          <w:color w:val="000000"/>
          <w:sz w:val="22"/>
          <w:szCs w:val="22"/>
        </w:rPr>
        <w:t xml:space="preserve">The strongest opportunities for differentiation map directly to the gaps above:</w:t>
      </w:r>
    </w:p>
    <w:p>
      <w:pPr>
        <w:pStyle w:val="Heading3"/>
      </w:pPr>
      <w:r>
        <w:t xml:space="preserve">7.1 Sustainable Driver Economics</w:t>
      </w:r>
    </w:p>
    <w:p>
      <w:pPr>
        <w:spacing w:after="120" w:before="0"/>
      </w:pPr>
      <w:r>
        <w:rPr>
          <w:rFonts w:ascii="Arial" w:cs="Arial" w:eastAsia="Arial" w:hAnsi="Arial"/>
          <w:b w:val="false"/>
          <w:bCs w:val="false"/>
          <w:i w:val="false"/>
          <w:iCs w:val="false"/>
          <w:color w:val="000000"/>
          <w:sz w:val="22"/>
          <w:szCs w:val="22"/>
        </w:rPr>
        <w:t xml:space="preserve">Cap or clearly communicate a low take-rate (target range 8–12%), show net earnings before acceptance, and offer fast payouts. Drivers multi-home; they will shift supply toward better net treatment.</w:t>
      </w:r>
    </w:p>
    <w:p>
      <w:pPr>
        <w:pStyle w:val="Heading3"/>
      </w:pPr>
      <w:r>
        <w:t xml:space="preserve">7.2 Eliminate Destination Discrimination and “Add Small”</w:t>
      </w:r>
    </w:p>
    <w:p>
      <w:pPr>
        <w:spacing w:after="120" w:before="0"/>
      </w:pPr>
      <w:r>
        <w:rPr>
          <w:rFonts w:ascii="Arial" w:cs="Arial" w:eastAsia="Arial" w:hAnsi="Arial"/>
          <w:b w:val="false"/>
          <w:bCs w:val="false"/>
          <w:i w:val="false"/>
          <w:iCs w:val="false"/>
          <w:color w:val="000000"/>
          <w:sz w:val="22"/>
          <w:szCs w:val="22"/>
        </w:rPr>
        <w:t xml:space="preserve">Show full destination before accept, enforce accepted-price policy, and make renegotiation requests reportable and actionable. These are among the highest-frequency rider trust destroyers.</w:t>
      </w:r>
    </w:p>
    <w:p>
      <w:pPr>
        <w:pStyle w:val="Heading3"/>
      </w:pPr>
      <w:r>
        <w:t xml:space="preserve">7.3 Visible Safety and Vehicle Quality</w:t>
      </w:r>
    </w:p>
    <w:p>
      <w:pPr>
        <w:spacing w:after="120" w:before="0"/>
      </w:pPr>
      <w:r>
        <w:rPr>
          <w:rFonts w:ascii="Arial" w:cs="Arial" w:eastAsia="Arial" w:hAnsi="Arial"/>
          <w:b w:val="false"/>
          <w:bCs w:val="false"/>
          <w:i w:val="false"/>
          <w:iCs w:val="false"/>
          <w:color w:val="000000"/>
          <w:sz w:val="22"/>
          <w:szCs w:val="22"/>
        </w:rPr>
        <w:t xml:space="preserve">Verified badges, simple vehicle tiers (Standard / Comfort), in-app SOS with response SLAs, and communicated trip-level insurance. Convert safety from a hidden risk into a visible product feature.</w:t>
      </w:r>
    </w:p>
    <w:p>
      <w:pPr>
        <w:pStyle w:val="Heading3"/>
      </w:pPr>
      <w:r>
        <w:t xml:space="preserve">7.4 Flexible Pricing + Local Legitimacy</w:t>
      </w:r>
    </w:p>
    <w:p>
      <w:pPr>
        <w:spacing w:after="120" w:before="0"/>
      </w:pPr>
      <w:r>
        <w:rPr>
          <w:rFonts w:ascii="Arial" w:cs="Arial" w:eastAsia="Arial" w:hAnsi="Arial"/>
          <w:b w:val="false"/>
          <w:bCs w:val="false"/>
          <w:i w:val="false"/>
          <w:iCs w:val="false"/>
          <w:color w:val="000000"/>
          <w:sz w:val="22"/>
          <w:szCs w:val="22"/>
        </w:rPr>
        <w:t xml:space="preserve">Offer both fixed quotes and optional negotiation so the platform serves price-sensitive and certainty-seeking riders. Engage AUATON and state transport authorities constructively. Start dense in Lagos, then expand selectively.</w:t>
      </w:r>
    </w:p>
    <w:p>
      <w:pPr>
        <w:pStyle w:val="Heading1"/>
      </w:pPr>
      <w:r>
        <w:t xml:space="preserve">8. Recommended Direction (High-Level Go-to-Market)</w:t>
      </w:r>
    </w:p>
    <w:p>
      <w:pPr>
        <w:spacing w:after="120" w:before="0"/>
      </w:pPr>
      <w:r>
        <w:rPr>
          <w:rFonts w:ascii="Arial" w:cs="Arial" w:eastAsia="Arial" w:hAnsi="Arial"/>
          <w:b w:val="false"/>
          <w:bCs w:val="false"/>
          <w:i/>
          <w:iCs/>
          <w:color w:val="555555"/>
          <w:sz w:val="19"/>
          <w:szCs w:val="19"/>
        </w:rPr>
        <w:t xml:space="preserve">The following is reasoned strategy based on the gaps identified. It is not a full operational GTM plan (channel costs, conversion rates and partnership details are not available in the secondary dataset).</w:t>
      </w:r>
    </w:p>
    <w:p>
      <w:pPr>
        <w:pStyle w:val="Heading2"/>
      </w:pPr>
      <w:r>
        <w:t xml:space="preserve">8.1 Initial Market and Segments</w:t>
      </w:r>
    </w:p>
    <w:p>
      <w:pPr>
        <w:pStyle w:val="ListParagraph"/>
        <w:numPr>
          <w:ilvl w:val="0"/>
          <w:numId w:val="2"/>
        </w:numPr>
        <w:spacing w:after="80"/>
      </w:pPr>
      <w:r>
        <w:rPr>
          <w:rFonts w:ascii="Arial" w:cs="Arial" w:eastAsia="Arial" w:hAnsi="Arial"/>
          <w:sz w:val="21"/>
          <w:szCs w:val="21"/>
        </w:rPr>
        <w:t xml:space="preserve">Primary geography: Lagos (highest density, existing liquidity, LagRide competition already present).</w:t>
      </w:r>
    </w:p>
    <w:p>
      <w:pPr>
        <w:pStyle w:val="ListParagraph"/>
        <w:numPr>
          <w:ilvl w:val="0"/>
          <w:numId w:val="2"/>
        </w:numPr>
        <w:spacing w:after="80"/>
      </w:pPr>
      <w:r>
        <w:rPr>
          <w:rFonts w:ascii="Arial" w:cs="Arial" w:eastAsia="Arial" w:hAnsi="Arial"/>
          <w:sz w:val="21"/>
          <w:szCs w:val="21"/>
        </w:rPr>
        <w:t xml:space="preserve">Secondary expansion: 2–3 other major cities only after Lagos unit economics and supply density are proven.</w:t>
      </w:r>
    </w:p>
    <w:p>
      <w:pPr>
        <w:pStyle w:val="ListParagraph"/>
        <w:numPr>
          <w:ilvl w:val="0"/>
          <w:numId w:val="2"/>
        </w:numPr>
        <w:spacing w:after="80"/>
      </w:pPr>
      <w:r>
        <w:rPr>
          <w:rFonts w:ascii="Arial" w:cs="Arial" w:eastAsia="Arial" w:hAnsi="Arial"/>
          <w:sz w:val="21"/>
          <w:szCs w:val="21"/>
        </w:rPr>
        <w:t xml:space="preserve">Target rider segments (reasoned): price-sensitive daily/commuter riders + safety/quality-conscious riders willing to pay a modest premium for verified vehicles.</w:t>
      </w:r>
    </w:p>
    <w:p>
      <w:pPr>
        <w:pStyle w:val="ListParagraph"/>
        <w:numPr>
          <w:ilvl w:val="0"/>
          <w:numId w:val="2"/>
        </w:numPr>
        <w:spacing w:after="80"/>
      </w:pPr>
      <w:r>
        <w:rPr>
          <w:rFonts w:ascii="Arial" w:cs="Arial" w:eastAsia="Arial" w:hAnsi="Arial"/>
          <w:sz w:val="21"/>
          <w:szCs w:val="21"/>
        </w:rPr>
        <w:t xml:space="preserve">Target driver segments (reasoned): multi-homing drivers currently active on Bolt/inDrive who respond to clearer net earnings and faster payouts.</w:t>
      </w:r>
    </w:p>
    <w:p>
      <w:pPr>
        <w:pStyle w:val="Heading2"/>
      </w:pPr>
      <w:r>
        <w:t xml:space="preserve">8.2 Driver Acquisition Direction</w:t>
      </w:r>
    </w:p>
    <w:p>
      <w:pPr>
        <w:pStyle w:val="ListParagraph"/>
        <w:numPr>
          <w:ilvl w:val="0"/>
          <w:numId w:val="2"/>
        </w:numPr>
        <w:spacing w:after="80"/>
      </w:pPr>
      <w:r>
        <w:rPr>
          <w:rFonts w:ascii="Arial" w:cs="Arial" w:eastAsia="Arial" w:hAnsi="Arial"/>
          <w:sz w:val="21"/>
          <w:szCs w:val="21"/>
        </w:rPr>
        <w:t xml:space="preserve">Lead with transparent economics (commission ceiling, net dashboard, instant/same-day payout).</w:t>
      </w:r>
    </w:p>
    <w:p>
      <w:pPr>
        <w:pStyle w:val="ListParagraph"/>
        <w:numPr>
          <w:ilvl w:val="0"/>
          <w:numId w:val="2"/>
        </w:numPr>
        <w:spacing w:after="80"/>
      </w:pPr>
      <w:r>
        <w:rPr>
          <w:rFonts w:ascii="Arial" w:cs="Arial" w:eastAsia="Arial" w:hAnsi="Arial"/>
          <w:sz w:val="21"/>
          <w:szCs w:val="21"/>
        </w:rPr>
        <w:t xml:space="preserve">Recruit actively from the pool of former Uber and current multi-homing drivers.</w:t>
      </w:r>
    </w:p>
    <w:p>
      <w:pPr>
        <w:pStyle w:val="ListParagraph"/>
        <w:numPr>
          <w:ilvl w:val="0"/>
          <w:numId w:val="2"/>
        </w:numPr>
        <w:spacing w:after="80"/>
      </w:pPr>
      <w:r>
        <w:rPr>
          <w:rFonts w:ascii="Arial" w:cs="Arial" w:eastAsia="Arial" w:hAnsi="Arial"/>
          <w:sz w:val="21"/>
          <w:szCs w:val="21"/>
        </w:rPr>
        <w:t xml:space="preserve">Use referral incentives and early guaranteed-earnings pilots in peak corridors.</w:t>
      </w:r>
    </w:p>
    <w:p>
      <w:pPr>
        <w:spacing w:after="120" w:before="0"/>
      </w:pPr>
      <w:r>
        <w:rPr>
          <w:rFonts w:ascii="Arial" w:cs="Arial" w:eastAsia="Arial" w:hAnsi="Arial"/>
          <w:b w:val="false"/>
          <w:bCs w:val="false"/>
          <w:i/>
          <w:iCs/>
          <w:color w:val="555555"/>
          <w:sz w:val="19"/>
          <w:szCs w:val="19"/>
        </w:rPr>
        <w:t xml:space="preserve">Detailed channel mix, incentive sizing and CAC benchmarks require primary testing.</w:t>
      </w:r>
    </w:p>
    <w:p>
      <w:pPr>
        <w:pStyle w:val="Heading2"/>
      </w:pPr>
      <w:r>
        <w:t xml:space="preserve">8.3 Rider Acquisition Direction</w:t>
      </w:r>
    </w:p>
    <w:p>
      <w:pPr>
        <w:pStyle w:val="ListParagraph"/>
        <w:numPr>
          <w:ilvl w:val="0"/>
          <w:numId w:val="2"/>
        </w:numPr>
        <w:spacing w:after="80"/>
      </w:pPr>
      <w:r>
        <w:rPr>
          <w:rFonts w:ascii="Arial" w:cs="Arial" w:eastAsia="Arial" w:hAnsi="Arial"/>
          <w:sz w:val="21"/>
          <w:szCs w:val="21"/>
        </w:rPr>
        <w:t xml:space="preserve">Message reliability and “no add-small / no destination rejection” as much as price.</w:t>
      </w:r>
    </w:p>
    <w:p>
      <w:pPr>
        <w:pStyle w:val="ListParagraph"/>
        <w:numPr>
          <w:ilvl w:val="0"/>
          <w:numId w:val="2"/>
        </w:numPr>
        <w:spacing w:after="80"/>
      </w:pPr>
      <w:r>
        <w:rPr>
          <w:rFonts w:ascii="Arial" w:cs="Arial" w:eastAsia="Arial" w:hAnsi="Arial"/>
          <w:sz w:val="21"/>
          <w:szCs w:val="21"/>
        </w:rPr>
        <w:t xml:space="preserve">Use price competitiveness (or dual pricing) to acquire; use trust features to retain.</w:t>
      </w:r>
    </w:p>
    <w:p>
      <w:pPr>
        <w:pStyle w:val="ListParagraph"/>
        <w:numPr>
          <w:ilvl w:val="0"/>
          <w:numId w:val="2"/>
        </w:numPr>
        <w:spacing w:after="80"/>
      </w:pPr>
      <w:r>
        <w:rPr>
          <w:rFonts w:ascii="Arial" w:cs="Arial" w:eastAsia="Arial" w:hAnsi="Arial"/>
          <w:sz w:val="21"/>
          <w:szCs w:val="21"/>
        </w:rPr>
        <w:t xml:space="preserve">Focus early density on high-volume Lagos corridors rather than city-wide thin coverage.</w:t>
      </w:r>
    </w:p>
    <w:p>
      <w:pPr>
        <w:spacing w:after="120" w:before="0"/>
      </w:pPr>
      <w:r>
        <w:rPr>
          <w:rFonts w:ascii="Arial" w:cs="Arial" w:eastAsia="Arial" w:hAnsi="Arial"/>
          <w:b w:val="false"/>
          <w:bCs w:val="false"/>
          <w:i/>
          <w:iCs/>
          <w:color w:val="555555"/>
          <w:sz w:val="19"/>
          <w:szCs w:val="19"/>
        </w:rPr>
        <w:t xml:space="preserve">Paid channel performance, referral mechanics and corporate/account channels are not covered by existing data.</w:t>
      </w:r>
    </w:p>
    <w:p>
      <w:pPr>
        <w:pStyle w:val="Heading2"/>
      </w:pPr>
      <w:r>
        <w:t xml:space="preserve">8.4 Partnerships and Channels (Gap)</w:t>
      </w:r>
    </w:p>
    <w:p>
      <w:pPr>
        <w:spacing w:after="120" w:before="0"/>
      </w:pPr>
      <w:r>
        <w:rPr>
          <w:rFonts w:ascii="Arial" w:cs="Arial" w:eastAsia="Arial" w:hAnsi="Arial"/>
          <w:b w:val="false"/>
          <w:bCs w:val="false"/>
          <w:i w:val="false"/>
          <w:iCs w:val="false"/>
          <w:color w:val="000000"/>
          <w:sz w:val="22"/>
          <w:szCs w:val="22"/>
        </w:rPr>
        <w:t xml:space="preserve">No robust secondary data exists in the current dataset on fleet partners, payment partners, corporate accounts, or exclusive corridor deals. These should be treated as open research items.</w:t>
      </w:r>
    </w:p>
    <w:p>
      <w:pPr>
        <w:pStyle w:val="Heading2"/>
      </w:pPr>
      <w:r>
        <w:t xml:space="preserve">8.5 Pre-Launch / Waitlist and 30–60 Day Priorities (Gap)</w:t>
      </w:r>
    </w:p>
    <w:p>
      <w:pPr>
        <w:spacing w:after="120" w:before="0"/>
      </w:pPr>
      <w:r>
        <w:rPr>
          <w:rFonts w:ascii="Arial" w:cs="Arial" w:eastAsia="Arial" w:hAnsi="Arial"/>
          <w:b w:val="false"/>
          <w:bCs w:val="false"/>
          <w:i w:val="false"/>
          <w:iCs w:val="false"/>
          <w:color w:val="000000"/>
          <w:sz w:val="22"/>
          <w:szCs w:val="22"/>
        </w:rPr>
        <w:t xml:space="preserve">Pre-launch waitlist mechanics, supply seeding plans, and a detailed 30–60 day launch checklist fall outside the secondary intelligence available. They require operational planning once product and city focus are fixed.</w:t>
      </w:r>
    </w:p>
    <w:p>
      <w:pPr>
        <w:pStyle w:val="Heading1"/>
      </w:pPr>
      <w:r>
        <w:t xml:space="preserve">9. Key Risks and Barriers to Entry</w:t>
      </w:r>
    </w:p>
    <w:p>
      <w:pPr>
        <w:pStyle w:val="ListParagraph"/>
        <w:numPr>
          <w:ilvl w:val="0"/>
          <w:numId w:val="2"/>
        </w:numPr>
        <w:spacing w:after="80"/>
      </w:pPr>
      <w:r>
        <w:rPr>
          <w:rFonts w:ascii="Arial" w:cs="Arial" w:eastAsia="Arial" w:hAnsi="Arial"/>
          <w:sz w:val="21"/>
          <w:szCs w:val="21"/>
        </w:rPr>
        <w:t xml:space="preserve">Fuel price volatility – Dominates driver unit economics; can quickly erase thin margins.</w:t>
      </w:r>
    </w:p>
    <w:p>
      <w:pPr>
        <w:pStyle w:val="ListParagraph"/>
        <w:numPr>
          <w:ilvl w:val="0"/>
          <w:numId w:val="2"/>
        </w:numPr>
        <w:spacing w:after="80"/>
      </w:pPr>
      <w:r>
        <w:rPr>
          <w:rFonts w:ascii="Arial" w:cs="Arial" w:eastAsia="Arial" w:hAnsi="Arial"/>
          <w:sz w:val="21"/>
          <w:szCs w:val="21"/>
        </w:rPr>
        <w:t xml:space="preserve">Driver multi-homing – Supply is fluid; any perceived worsening of net earnings triggers rapid exit.</w:t>
      </w:r>
    </w:p>
    <w:p>
      <w:pPr>
        <w:pStyle w:val="ListParagraph"/>
        <w:numPr>
          <w:ilvl w:val="0"/>
          <w:numId w:val="2"/>
        </w:numPr>
        <w:spacing w:after="80"/>
      </w:pPr>
      <w:r>
        <w:rPr>
          <w:rFonts w:ascii="Arial" w:cs="Arial" w:eastAsia="Arial" w:hAnsi="Arial"/>
          <w:sz w:val="21"/>
          <w:szCs w:val="21"/>
        </w:rPr>
        <w:t xml:space="preserve">AUATON and regulatory pressure – Union has already warned remaining platforms; local legitimacy matters.</w:t>
      </w:r>
    </w:p>
    <w:p>
      <w:pPr>
        <w:pStyle w:val="ListParagraph"/>
        <w:numPr>
          <w:ilvl w:val="0"/>
          <w:numId w:val="2"/>
        </w:numPr>
        <w:spacing w:after="80"/>
      </w:pPr>
      <w:r>
        <w:rPr>
          <w:rFonts w:ascii="Arial" w:cs="Arial" w:eastAsia="Arial" w:hAnsi="Arial"/>
          <w:sz w:val="21"/>
          <w:szCs w:val="21"/>
        </w:rPr>
        <w:t xml:space="preserve">Liquidity / chicken-and-egg – New entrant must reach usable density in chosen corridors or wait times destroy the experience.</w:t>
      </w:r>
    </w:p>
    <w:p>
      <w:pPr>
        <w:pStyle w:val="ListParagraph"/>
        <w:numPr>
          <w:ilvl w:val="0"/>
          <w:numId w:val="2"/>
        </w:numPr>
        <w:spacing w:after="80"/>
      </w:pPr>
      <w:r>
        <w:rPr>
          <w:rFonts w:ascii="Arial" w:cs="Arial" w:eastAsia="Arial" w:hAnsi="Arial"/>
          <w:sz w:val="21"/>
          <w:szCs w:val="21"/>
        </w:rPr>
        <w:t xml:space="preserve">Safety and trust perception – One high-profile incident can set back a new brand significantly.</w:t>
      </w:r>
    </w:p>
    <w:p>
      <w:pPr>
        <w:pStyle w:val="ListParagraph"/>
        <w:numPr>
          <w:ilvl w:val="0"/>
          <w:numId w:val="2"/>
        </w:numPr>
        <w:spacing w:after="80"/>
      </w:pPr>
      <w:r>
        <w:rPr>
          <w:rFonts w:ascii="Arial" w:cs="Arial" w:eastAsia="Arial" w:hAnsi="Arial"/>
          <w:sz w:val="21"/>
          <w:szCs w:val="21"/>
        </w:rPr>
        <w:t xml:space="preserve">Capital intensity – Incentives, support, insurance and vehicle standards all cost money before scale.</w:t>
      </w:r>
    </w:p>
    <w:p>
      <w:pPr>
        <w:pStyle w:val="ListParagraph"/>
        <w:numPr>
          <w:ilvl w:val="0"/>
          <w:numId w:val="2"/>
        </w:numPr>
        <w:spacing w:after="80"/>
      </w:pPr>
      <w:r>
        <w:rPr>
          <w:rFonts w:ascii="Arial" w:cs="Arial" w:eastAsia="Arial" w:hAnsi="Arial"/>
          <w:sz w:val="21"/>
          <w:szCs w:val="21"/>
        </w:rPr>
        <w:t xml:space="preserve">Data and secondary-source limitations – Market share and exact trip volumes remain estimates; live pricing changes constantly.</w:t>
      </w:r>
    </w:p>
    <w:p>
      <w:pPr>
        <w:pStyle w:val="Heading1"/>
      </w:pPr>
      <w:r>
        <w:t xml:space="preserve">10. Intelligence Gaps and Recommended Next Research</w:t>
      </w:r>
    </w:p>
    <w:p>
      <w:pPr>
        <w:spacing w:after="120" w:before="0"/>
      </w:pPr>
      <w:r>
        <w:rPr>
          <w:rFonts w:ascii="Arial" w:cs="Arial" w:eastAsia="Arial" w:hAnsi="Arial"/>
          <w:b w:val="false"/>
          <w:bCs w:val="false"/>
          <w:i w:val="false"/>
          <w:iCs w:val="false"/>
          <w:color w:val="000000"/>
          <w:sz w:val="22"/>
          <w:szCs w:val="22"/>
        </w:rPr>
        <w:t xml:space="preserve">The following cannot be reliably answered from the current secondary dataset and should be prioritised:</w:t>
      </w:r>
    </w:p>
    <w:p>
      <w:pPr>
        <w:pStyle w:val="ListParagraph"/>
        <w:numPr>
          <w:ilvl w:val="0"/>
          <w:numId w:val="3"/>
        </w:numPr>
        <w:spacing w:after="60"/>
      </w:pPr>
      <w:r>
        <w:rPr>
          <w:rFonts w:ascii="Arial" w:cs="Arial" w:eastAsia="Arial" w:hAnsi="Arial"/>
          <w:sz w:val="21"/>
          <w:szCs w:val="21"/>
        </w:rPr>
        <w:t xml:space="preserve">Primary driver interviews / short surveys on actual net earnings after fuel and preferred platform features.</w:t>
      </w:r>
    </w:p>
    <w:p>
      <w:pPr>
        <w:pStyle w:val="ListParagraph"/>
        <w:numPr>
          <w:ilvl w:val="0"/>
          <w:numId w:val="3"/>
        </w:numPr>
        <w:spacing w:after="60"/>
      </w:pPr>
      <w:r>
        <w:rPr>
          <w:rFonts w:ascii="Arial" w:cs="Arial" w:eastAsia="Arial" w:hAnsi="Arial"/>
          <w:sz w:val="21"/>
          <w:szCs w:val="21"/>
        </w:rPr>
        <w:t xml:space="preserve">Live in-app price collection on priority Lagos routes (weekly) to keep mid-points current.</w:t>
      </w:r>
    </w:p>
    <w:p>
      <w:pPr>
        <w:pStyle w:val="ListParagraph"/>
        <w:numPr>
          <w:ilvl w:val="0"/>
          <w:numId w:val="3"/>
        </w:numPr>
        <w:spacing w:after="60"/>
      </w:pPr>
      <w:r>
        <w:rPr>
          <w:rFonts w:ascii="Arial" w:cs="Arial" w:eastAsia="Arial" w:hAnsi="Arial"/>
          <w:sz w:val="21"/>
          <w:szCs w:val="21"/>
        </w:rPr>
        <w:t xml:space="preserve">Customer and driver segmentation (demographics, trip frequency, willingness-to-pay, multi-homing intensity).</w:t>
      </w:r>
    </w:p>
    <w:p>
      <w:pPr>
        <w:pStyle w:val="ListParagraph"/>
        <w:numPr>
          <w:ilvl w:val="0"/>
          <w:numId w:val="3"/>
        </w:numPr>
        <w:spacing w:after="60"/>
      </w:pPr>
      <w:r>
        <w:rPr>
          <w:rFonts w:ascii="Arial" w:cs="Arial" w:eastAsia="Arial" w:hAnsi="Arial"/>
          <w:sz w:val="21"/>
          <w:szCs w:val="21"/>
        </w:rPr>
        <w:t xml:space="preserve">Acquisition channel tests and rough CAC/LTV ranges for both sides of the marketplace.</w:t>
      </w:r>
    </w:p>
    <w:p>
      <w:pPr>
        <w:pStyle w:val="ListParagraph"/>
        <w:numPr>
          <w:ilvl w:val="0"/>
          <w:numId w:val="3"/>
        </w:numPr>
        <w:spacing w:after="60"/>
      </w:pPr>
      <w:r>
        <w:rPr>
          <w:rFonts w:ascii="Arial" w:cs="Arial" w:eastAsia="Arial" w:hAnsi="Arial"/>
          <w:sz w:val="21"/>
          <w:szCs w:val="21"/>
        </w:rPr>
        <w:t xml:space="preserve">Partnership landscape (fleets, payments, corporate, insurance, state transport).</w:t>
      </w:r>
    </w:p>
    <w:p>
      <w:pPr>
        <w:pStyle w:val="ListParagraph"/>
        <w:numPr>
          <w:ilvl w:val="0"/>
          <w:numId w:val="3"/>
        </w:numPr>
        <w:spacing w:after="120"/>
      </w:pPr>
      <w:r>
        <w:rPr>
          <w:rFonts w:ascii="Arial" w:cs="Arial" w:eastAsia="Arial" w:hAnsi="Arial"/>
          <w:sz w:val="21"/>
          <w:szCs w:val="21"/>
        </w:rPr>
        <w:t xml:space="preserve">If available, paid reports (e.g. Stears) to replace estimate ranges with stronger figures.</w:t>
      </w:r>
    </w:p>
    <w:p>
      <w:pPr>
        <w:pStyle w:val="Heading1"/>
      </w:pPr>
      <w:r>
        <w:t xml:space="preserve">11. Sources and Data Labelling</w:t>
      </w:r>
    </w:p>
    <w:p>
      <w:pPr>
        <w:spacing w:after="120" w:before="0"/>
      </w:pPr>
      <w:r>
        <w:rPr>
          <w:rFonts w:ascii="Arial" w:cs="Arial" w:eastAsia="Arial" w:hAnsi="Arial"/>
          <w:b w:val="false"/>
          <w:bCs w:val="false"/>
          <w:i w:val="false"/>
          <w:iCs w:val="false"/>
          <w:color w:val="000000"/>
          <w:sz w:val="22"/>
          <w:szCs w:val="22"/>
        </w:rPr>
        <w:t xml:space="preserve">Primary public sources used in the underlying dataset:</w:t>
      </w:r>
    </w:p>
    <w:p>
      <w:pPr>
        <w:pStyle w:val="ListParagraph"/>
        <w:numPr>
          <w:ilvl w:val="0"/>
          <w:numId w:val="2"/>
        </w:numPr>
        <w:spacing w:after="80"/>
      </w:pPr>
      <w:r>
        <w:rPr>
          <w:rFonts w:ascii="Arial" w:cs="Arial" w:eastAsia="Arial" w:hAnsi="Arial"/>
          <w:sz w:val="21"/>
          <w:szCs w:val="21"/>
        </w:rPr>
        <w:t xml:space="preserve">Statista Market Forecast – revenue, users, ARPU projections.</w:t>
      </w:r>
    </w:p>
    <w:p>
      <w:pPr>
        <w:pStyle w:val="ListParagraph"/>
        <w:numPr>
          <w:ilvl w:val="0"/>
          <w:numId w:val="2"/>
        </w:numPr>
        <w:spacing w:after="80"/>
      </w:pPr>
      <w:r>
        <w:rPr>
          <w:rFonts w:ascii="Arial" w:cs="Arial" w:eastAsia="Arial" w:hAnsi="Arial"/>
          <w:sz w:val="21"/>
          <w:szCs w:val="21"/>
        </w:rPr>
        <w:t xml:space="preserve">TechCabal, Technext24 – Uber exit analysis, platform comparisons, complaint themes.</w:t>
      </w:r>
    </w:p>
    <w:p>
      <w:pPr>
        <w:pStyle w:val="ListParagraph"/>
        <w:numPr>
          <w:ilvl w:val="0"/>
          <w:numId w:val="2"/>
        </w:numPr>
        <w:spacing w:after="80"/>
      </w:pPr>
      <w:r>
        <w:rPr>
          <w:rFonts w:ascii="Arial" w:cs="Arial" w:eastAsia="Arial" w:hAnsi="Arial"/>
          <w:sz w:val="21"/>
          <w:szCs w:val="21"/>
        </w:rPr>
        <w:t xml:space="preserve">Ridetransport, WheelZAR, 234Drive, MyCityPrices-style trackers – 2026 Lagos route price comparisons.</w:t>
      </w:r>
    </w:p>
    <w:p>
      <w:pPr>
        <w:pStyle w:val="ListParagraph"/>
        <w:numPr>
          <w:ilvl w:val="0"/>
          <w:numId w:val="2"/>
        </w:numPr>
        <w:spacing w:after="80"/>
      </w:pPr>
      <w:r>
        <w:rPr>
          <w:rFonts w:ascii="Arial" w:cs="Arial" w:eastAsia="Arial" w:hAnsi="Arial"/>
          <w:sz w:val="21"/>
          <w:szCs w:val="21"/>
        </w:rPr>
        <w:t xml:space="preserve">BusinessDay, TheCable, Legit.ng, Punch, Daily Trust – exit coverage, commission reports, AUATON statements.</w:t>
      </w:r>
    </w:p>
    <w:p>
      <w:pPr>
        <w:pStyle w:val="ListParagraph"/>
        <w:numPr>
          <w:ilvl w:val="0"/>
          <w:numId w:val="2"/>
        </w:numPr>
        <w:spacing w:after="80"/>
      </w:pPr>
      <w:r>
        <w:rPr>
          <w:rFonts w:ascii="Arial" w:cs="Arial" w:eastAsia="Arial" w:hAnsi="Arial"/>
          <w:sz w:val="21"/>
          <w:szCs w:val="21"/>
        </w:rPr>
        <w:t xml:space="preserve">Bolt / Ipsos – Gig economy sizing; Sagaci Research (via TechCabal) – 2024 user survey.</w:t>
      </w:r>
    </w:p>
    <w:p>
      <w:pPr>
        <w:pStyle w:val="ListParagraph"/>
        <w:numPr>
          <w:ilvl w:val="0"/>
          <w:numId w:val="2"/>
        </w:numPr>
        <w:spacing w:after="80"/>
      </w:pPr>
      <w:r>
        <w:rPr>
          <w:rFonts w:ascii="Arial" w:cs="Arial" w:eastAsia="Arial" w:hAnsi="Arial"/>
          <w:sz w:val="21"/>
          <w:szCs w:val="21"/>
        </w:rPr>
        <w:t xml:space="preserve">Mordor Intelligence, Ken Research – broader Africa / Nigeria mobility ranges.</w:t>
      </w:r>
    </w:p>
    <w:p>
      <w:pPr>
        <w:pStyle w:val="ListParagraph"/>
        <w:numPr>
          <w:ilvl w:val="0"/>
          <w:numId w:val="2"/>
        </w:numPr>
        <w:spacing w:after="80"/>
      </w:pPr>
      <w:r>
        <w:rPr>
          <w:rFonts w:ascii="Arial" w:cs="Arial" w:eastAsia="Arial" w:hAnsi="Arial"/>
          <w:sz w:val="21"/>
          <w:szCs w:val="21"/>
        </w:rPr>
        <w:t xml:space="preserve">App Store / Play aggregates, X/Twitter and forum themes – pain-point synthesis.</w:t>
      </w:r>
    </w:p>
    <w:p>
      <w:pPr>
        <w:spacing w:after="120" w:before="120"/>
      </w:pPr>
      <w:r>
        <w:rPr>
          <w:rFonts w:ascii="Arial" w:cs="Arial" w:eastAsia="Arial" w:hAnsi="Arial"/>
          <w:b/>
          <w:bCs/>
          <w:i w:val="false"/>
          <w:iCs w:val="false"/>
          <w:color w:val="000000"/>
          <w:sz w:val="22"/>
          <w:szCs w:val="22"/>
        </w:rPr>
        <w:t xml:space="preserve">Labelling used in this report:</w:t>
      </w:r>
    </w:p>
    <w:p>
      <w:pPr>
        <w:pStyle w:val="ListParagraph"/>
        <w:numPr>
          <w:ilvl w:val="0"/>
          <w:numId w:val="2"/>
        </w:numPr>
        <w:spacing w:after="80"/>
      </w:pPr>
      <w:r>
        <w:rPr>
          <w:rFonts w:ascii="Arial" w:cs="Arial" w:eastAsia="Arial" w:hAnsi="Arial"/>
          <w:sz w:val="21"/>
          <w:szCs w:val="21"/>
        </w:rPr>
        <w:t xml:space="preserve">Sourced – Directly taken or closely paraphrased from a named public source.</w:t>
      </w:r>
    </w:p>
    <w:p>
      <w:pPr>
        <w:pStyle w:val="ListParagraph"/>
        <w:numPr>
          <w:ilvl w:val="0"/>
          <w:numId w:val="2"/>
        </w:numPr>
        <w:spacing w:after="80"/>
      </w:pPr>
      <w:r>
        <w:rPr>
          <w:rFonts w:ascii="Arial" w:cs="Arial" w:eastAsia="Arial" w:hAnsi="Arial"/>
          <w:sz w:val="21"/>
          <w:szCs w:val="21"/>
        </w:rPr>
        <w:t xml:space="preserve">Estimated – Derived from ranges or mid-points of published figures; methodology may differ across sources.</w:t>
      </w:r>
    </w:p>
    <w:p>
      <w:pPr>
        <w:pStyle w:val="ListParagraph"/>
        <w:numPr>
          <w:ilvl w:val="0"/>
          <w:numId w:val="2"/>
        </w:numPr>
        <w:spacing w:after="80"/>
      </w:pPr>
      <w:r>
        <w:rPr>
          <w:rFonts w:ascii="Arial" w:cs="Arial" w:eastAsia="Arial" w:hAnsi="Arial"/>
          <w:sz w:val="21"/>
          <w:szCs w:val="21"/>
        </w:rPr>
        <w:t xml:space="preserve">Assumption / Illustrative – Scenario inputs (especially fuel cost and unit-economics model) that should be stress-tested with primary data.</w:t>
      </w:r>
    </w:p>
    <w:p>
      <w:pPr>
        <w:spacing w:after="120" w:before="80"/>
      </w:pPr>
      <w:r>
        <w:rPr>
          <w:rFonts w:ascii="Arial" w:cs="Arial" w:eastAsia="Arial" w:hAnsi="Arial"/>
          <w:b w:val="false"/>
          <w:bCs w:val="false"/>
          <w:i w:val="false"/>
          <w:iCs w:val="false"/>
          <w:color w:val="555555"/>
          <w:sz w:val="19"/>
          <w:szCs w:val="19"/>
        </w:rPr>
        <w:t xml:space="preserve">Limitations: Secondary data only. No proprietary trip volumes, full review dumps, or live API feeds. Pricing is directional. Market-share figures are survey or analyst estimates, not audited. Uber data is pre-exit.</w:t>
      </w:r>
    </w:p>
    <w:p>
      <w:pPr>
        <w:pStyle w:val="Heading1"/>
      </w:pPr>
      <w:r>
        <w:t xml:space="preserve">12. Closing</w:t>
      </w:r>
    </w:p>
    <w:p>
      <w:pPr>
        <w:spacing w:after="120" w:before="0"/>
      </w:pPr>
      <w:r>
        <w:rPr>
          <w:rFonts w:ascii="Arial" w:cs="Arial" w:eastAsia="Arial" w:hAnsi="Arial"/>
          <w:b w:val="false"/>
          <w:bCs w:val="false"/>
          <w:i w:val="false"/>
          <w:iCs w:val="false"/>
          <w:color w:val="000000"/>
          <w:sz w:val="22"/>
          <w:szCs w:val="22"/>
        </w:rPr>
        <w:t xml:space="preserve">The Nigerian ride-hailing market after Uber’s exit is contested but still structurally open to a player that solves driver net earnings, removes the most damaging rider trust frictions, and makes safety and vehicle quality visible. The intelligence in this report is sufficient to prioritise those differentiation axes and to size the opportunity at a directional level. Detailed acquisition economics, segmentation and pre-launch execution require the next layer of primary work flagged in Section 10.</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Secondary data as of early September 2026  |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6"/>
        <w:szCs w:val="16"/>
      </w:rPr>
      <w:t xml:space="preserve">Nigeria Ride-Hailing Market Intelligence Report</w:t>
    </w:r>
    <w:r>
      <w:rPr>
        <w:rFonts w:ascii="Arial" w:cs="Arial" w:eastAsia="Arial" w:hAnsi="Arial"/>
        <w:color w:val="AAAAAA"/>
        <w:sz w:val="16"/>
        <w:szCs w:val="16"/>
      </w:rPr>
      <w:t xml:space="preserve">  |  </w:t>
    </w:r>
    <w:r>
      <w:rPr>
        <w:rFonts w:ascii="Arial" w:cs="Arial" w:eastAsia="Arial" w:hAnsi="Arial"/>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86A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2026-09-08T11:12:13.683Z</dcterms:created>
  <dcterms:modified xsi:type="dcterms:W3CDTF">2026-09-08T11:12:13.684Z</dcterms:modified>
</cp:coreProperties>
</file>

<file path=docProps/custom.xml><?xml version="1.0" encoding="utf-8"?>
<Properties xmlns="http://schemas.openxmlformats.org/officeDocument/2006/custom-properties" xmlns:vt="http://schemas.openxmlformats.org/officeDocument/2006/docPropsVTypes"/>
</file>