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B859E" w14:textId="77777777" w:rsidR="00E13648" w:rsidRDefault="00000000">
      <w:pPr>
        <w:spacing w:after="80"/>
        <w:jc w:val="center"/>
      </w:pPr>
      <w:r>
        <w:rPr>
          <w:b/>
          <w:bCs/>
          <w:color w:val="1F4E79"/>
          <w:sz w:val="36"/>
          <w:szCs w:val="36"/>
        </w:rPr>
        <w:t>PORT HARCOURT MARKET ASSESSMENT</w:t>
      </w:r>
    </w:p>
    <w:p w14:paraId="7911E6EC" w14:textId="77777777" w:rsidR="00E13648" w:rsidRDefault="00000000">
      <w:pPr>
        <w:spacing w:after="80"/>
        <w:jc w:val="center"/>
      </w:pPr>
      <w:r>
        <w:rPr>
          <w:color w:val="404040"/>
          <w:sz w:val="26"/>
          <w:szCs w:val="26"/>
        </w:rPr>
        <w:t>Ride-Hailing / Mobility Platform Launch Decision</w:t>
      </w:r>
    </w:p>
    <w:p w14:paraId="3ED4D48F" w14:textId="77777777" w:rsidR="00E13648" w:rsidRDefault="00000000">
      <w:pPr>
        <w:spacing w:after="200"/>
        <w:jc w:val="center"/>
      </w:pPr>
      <w:r>
        <w:rPr>
          <w:i/>
          <w:iCs/>
          <w:color w:val="666666"/>
        </w:rPr>
        <w:t>Clear Go / No-Go Recommendation for Keyen</w:t>
      </w:r>
    </w:p>
    <w:p w14:paraId="05EB504A" w14:textId="54E54A15" w:rsidR="00E13648" w:rsidRDefault="00000000">
      <w:pPr>
        <w:spacing w:after="400"/>
        <w:jc w:val="center"/>
      </w:pPr>
      <w:r>
        <w:rPr>
          <w:color w:val="666666"/>
          <w:sz w:val="18"/>
          <w:szCs w:val="18"/>
        </w:rPr>
        <w:t>Based on primary market research, competitor analysis, unit-economics modelling and regulatory review</w:t>
      </w:r>
    </w:p>
    <w:p w14:paraId="2F73CE4C" w14:textId="77777777" w:rsidR="00E13648" w:rsidRDefault="00000000" w:rsidP="004C0297">
      <w:pPr>
        <w:pStyle w:val="Heading1"/>
        <w:jc w:val="both"/>
      </w:pPr>
      <w:r>
        <w:t>1. Executive Assessment</w:t>
      </w:r>
    </w:p>
    <w:p w14:paraId="08BE01EB" w14:textId="77777777" w:rsidR="00E13648" w:rsidRDefault="00000000" w:rsidP="004C0297">
      <w:pPr>
        <w:spacing w:after="120"/>
        <w:jc w:val="both"/>
      </w:pPr>
      <w:r>
        <w:rPr>
          <w:b/>
          <w:bCs/>
          <w:color w:val="006600"/>
          <w:sz w:val="24"/>
          <w:szCs w:val="24"/>
        </w:rPr>
        <w:t>RECOMMENDATION: PROCEED TO PILOT (CONDITIONAL GO)</w:t>
      </w:r>
    </w:p>
    <w:p w14:paraId="7C5C52B5" w14:textId="77777777" w:rsidR="00E13648" w:rsidRDefault="00000000" w:rsidP="004C0297">
      <w:pPr>
        <w:spacing w:after="200"/>
        <w:jc w:val="both"/>
      </w:pPr>
      <w:r>
        <w:t>Port Harcourt is worth seriously considering as a launch market for Keyen, particularly as an alternative or secondary market while Lagos complexities are being resolved. The evidence supports a disciplined, corridor-focused pilot rather than a full city-wide launch. The market is commercially and operationally viable under the right conditions, but it is not low-risk or low-effort.</w:t>
      </w:r>
    </w:p>
    <w:p w14:paraId="7CDDEEC0" w14:textId="77777777" w:rsidR="00E13648" w:rsidRDefault="00000000" w:rsidP="004C0297">
      <w:pPr>
        <w:spacing w:after="120"/>
        <w:jc w:val="both"/>
      </w:pPr>
      <w:r>
        <w:rPr>
          <w:b/>
          <w:bCs/>
        </w:rPr>
        <w:t>Summary judgment (strictly from the evidence):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E13648" w14:paraId="37968C20" w14:textId="77777777">
        <w:tblPrEx>
          <w:tblCellMar>
            <w:top w:w="0" w:type="dxa"/>
            <w:bottom w:w="0" w:type="dxa"/>
          </w:tblCellMar>
        </w:tblPrEx>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91D2579" w14:textId="77777777" w:rsidR="00E13648" w:rsidRDefault="00000000" w:rsidP="004C0297">
            <w:pPr>
              <w:jc w:val="both"/>
            </w:pPr>
            <w:r>
              <w:rPr>
                <w:b/>
                <w:bCs/>
                <w:color w:val="FFFFFF"/>
                <w:sz w:val="20"/>
                <w:szCs w:val="20"/>
              </w:rPr>
              <w:t>Dimension</w:t>
            </w:r>
          </w:p>
        </w:tc>
        <w:tc>
          <w:tcPr>
            <w:tcW w:w="7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E337830" w14:textId="77777777" w:rsidR="00E13648" w:rsidRDefault="00000000" w:rsidP="004C0297">
            <w:pPr>
              <w:jc w:val="both"/>
            </w:pPr>
            <w:r>
              <w:rPr>
                <w:b/>
                <w:bCs/>
                <w:color w:val="FFFFFF"/>
                <w:sz w:val="20"/>
                <w:szCs w:val="20"/>
              </w:rPr>
              <w:t>Assessment</w:t>
            </w:r>
          </w:p>
        </w:tc>
      </w:tr>
      <w:tr w:rsidR="00E13648" w14:paraId="0816155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258A746E" w14:textId="77777777" w:rsidR="00E13648" w:rsidRDefault="00000000" w:rsidP="004C0297">
            <w:pPr>
              <w:jc w:val="both"/>
            </w:pPr>
            <w:r>
              <w:rPr>
                <w:b/>
                <w:bCs/>
                <w:color w:val="000000"/>
                <w:sz w:val="20"/>
                <w:szCs w:val="20"/>
              </w:rPr>
              <w:t>Market size &amp; demand</w:t>
            </w:r>
          </w:p>
        </w:tc>
        <w:tc>
          <w:tcPr>
            <w:tcW w:w="7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BA15A68" w14:textId="77777777" w:rsidR="00E13648" w:rsidRDefault="00000000" w:rsidP="004C0297">
            <w:pPr>
              <w:jc w:val="both"/>
            </w:pPr>
            <w:r>
              <w:rPr>
                <w:color w:val="000000"/>
                <w:sz w:val="20"/>
                <w:szCs w:val="20"/>
              </w:rPr>
              <w:t>Sufficient. ~3.8–4.0M urban agglomeration with concentrated high-value demand (oil/gas, GRA, airport, UNIPORT).</w:t>
            </w:r>
          </w:p>
        </w:tc>
      </w:tr>
      <w:tr w:rsidR="00E13648" w14:paraId="5609BA7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D37A4" w14:textId="77777777" w:rsidR="00E13648" w:rsidRDefault="00000000" w:rsidP="004C0297">
            <w:pPr>
              <w:jc w:val="both"/>
            </w:pPr>
            <w:r>
              <w:rPr>
                <w:b/>
                <w:bCs/>
                <w:color w:val="000000"/>
                <w:sz w:val="20"/>
                <w:szCs w:val="20"/>
              </w:rPr>
              <w:t>Competition intensity</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8C7FA6" w14:textId="77777777" w:rsidR="00E13648" w:rsidRDefault="00000000" w:rsidP="004C0297">
            <w:pPr>
              <w:jc w:val="both"/>
            </w:pPr>
            <w:r>
              <w:rPr>
                <w:color w:val="000000"/>
                <w:sz w:val="20"/>
                <w:szCs w:val="20"/>
              </w:rPr>
              <w:t xml:space="preserve">Moderate. Bolt and </w:t>
            </w:r>
            <w:proofErr w:type="spellStart"/>
            <w:r>
              <w:rPr>
                <w:color w:val="000000"/>
                <w:sz w:val="20"/>
                <w:szCs w:val="20"/>
              </w:rPr>
              <w:t>inDrive</w:t>
            </w:r>
            <w:proofErr w:type="spellEnd"/>
            <w:r>
              <w:rPr>
                <w:color w:val="000000"/>
                <w:sz w:val="20"/>
                <w:szCs w:val="20"/>
              </w:rPr>
              <w:t xml:space="preserve"> dominate; </w:t>
            </w:r>
            <w:proofErr w:type="spellStart"/>
            <w:r>
              <w:rPr>
                <w:color w:val="000000"/>
                <w:sz w:val="20"/>
                <w:szCs w:val="20"/>
              </w:rPr>
              <w:t>SimpliRide</w:t>
            </w:r>
            <w:proofErr w:type="spellEnd"/>
            <w:r>
              <w:rPr>
                <w:color w:val="000000"/>
                <w:sz w:val="20"/>
                <w:szCs w:val="20"/>
              </w:rPr>
              <w:t xml:space="preserve"> is local/</w:t>
            </w:r>
            <w:proofErr w:type="gramStart"/>
            <w:r>
              <w:rPr>
                <w:color w:val="000000"/>
                <w:sz w:val="20"/>
                <w:szCs w:val="20"/>
              </w:rPr>
              <w:t>driver-focused</w:t>
            </w:r>
            <w:proofErr w:type="gramEnd"/>
            <w:r>
              <w:rPr>
                <w:color w:val="000000"/>
                <w:sz w:val="20"/>
                <w:szCs w:val="20"/>
              </w:rPr>
              <w:t>. Less saturated than Lagos. Clear gaps remain.</w:t>
            </w:r>
          </w:p>
        </w:tc>
      </w:tr>
      <w:tr w:rsidR="00E13648" w14:paraId="439D677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4E42C1FE" w14:textId="77777777" w:rsidR="00E13648" w:rsidRDefault="00000000" w:rsidP="004C0297">
            <w:pPr>
              <w:jc w:val="both"/>
            </w:pPr>
            <w:r>
              <w:rPr>
                <w:b/>
                <w:bCs/>
                <w:color w:val="000000"/>
                <w:sz w:val="20"/>
                <w:szCs w:val="20"/>
              </w:rPr>
              <w:t>Driver supply &amp; economics</w:t>
            </w:r>
          </w:p>
        </w:tc>
        <w:tc>
          <w:tcPr>
            <w:tcW w:w="7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7218FC8B" w14:textId="77777777" w:rsidR="00E13648" w:rsidRDefault="00000000" w:rsidP="004C0297">
            <w:pPr>
              <w:jc w:val="both"/>
            </w:pPr>
            <w:r>
              <w:rPr>
                <w:color w:val="000000"/>
                <w:sz w:val="20"/>
                <w:szCs w:val="20"/>
              </w:rPr>
              <w:t>Challenging but addressable. Multi-homing is standard; high commissions and fuel costs create pain. A better take-rate or hybrid model can attract supply.</w:t>
            </w:r>
          </w:p>
        </w:tc>
      </w:tr>
      <w:tr w:rsidR="00E13648" w14:paraId="4A6F933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63923" w14:textId="77777777" w:rsidR="00E13648" w:rsidRDefault="00000000" w:rsidP="004C0297">
            <w:pPr>
              <w:jc w:val="both"/>
            </w:pPr>
            <w:r>
              <w:rPr>
                <w:b/>
                <w:bCs/>
                <w:color w:val="000000"/>
                <w:sz w:val="20"/>
                <w:szCs w:val="20"/>
              </w:rPr>
              <w:t>Unit economics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ABA73" w14:textId="77777777" w:rsidR="00E13648" w:rsidRDefault="00000000" w:rsidP="004C0297">
            <w:pPr>
              <w:jc w:val="both"/>
            </w:pPr>
            <w:r>
              <w:rPr>
                <w:color w:val="000000"/>
                <w:sz w:val="20"/>
                <w:szCs w:val="20"/>
              </w:rPr>
              <w:t>Tighter than Lagos. Viable if take rate is kept competitive (target ≤12–15%) and early incentives are well managed.</w:t>
            </w:r>
          </w:p>
        </w:tc>
      </w:tr>
      <w:tr w:rsidR="00E13648" w14:paraId="1373BA8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5704D3F" w14:textId="77777777" w:rsidR="00E13648" w:rsidRDefault="00000000" w:rsidP="004C0297">
            <w:pPr>
              <w:jc w:val="both"/>
            </w:pPr>
            <w:r>
              <w:rPr>
                <w:b/>
                <w:bCs/>
                <w:color w:val="000000"/>
                <w:sz w:val="20"/>
                <w:szCs w:val="20"/>
              </w:rPr>
              <w:t>Regulatory / operational risk</w:t>
            </w:r>
          </w:p>
        </w:tc>
        <w:tc>
          <w:tcPr>
            <w:tcW w:w="75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0504BAB" w14:textId="77777777" w:rsidR="00E13648" w:rsidRDefault="00000000" w:rsidP="004C0297">
            <w:pPr>
              <w:jc w:val="both"/>
            </w:pPr>
            <w:r>
              <w:rPr>
                <w:color w:val="000000"/>
                <w:sz w:val="20"/>
                <w:szCs w:val="20"/>
              </w:rPr>
              <w:t>Material. History of ad-hoc levies, tout activity, and multiple informal tickets. Requires proactive local engagement.</w:t>
            </w:r>
          </w:p>
        </w:tc>
      </w:tr>
      <w:tr w:rsidR="00E13648" w14:paraId="5FF49CA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7E452" w14:textId="77777777" w:rsidR="00E13648" w:rsidRDefault="00000000" w:rsidP="004C0297">
            <w:pPr>
              <w:jc w:val="both"/>
            </w:pPr>
            <w:r>
              <w:rPr>
                <w:b/>
                <w:bCs/>
                <w:color w:val="000000"/>
                <w:sz w:val="20"/>
                <w:szCs w:val="20"/>
              </w:rPr>
              <w:t>Launch cost (Base case)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F13B9" w14:textId="77777777" w:rsidR="00E13648" w:rsidRDefault="00000000" w:rsidP="004C0297">
            <w:pPr>
              <w:jc w:val="both"/>
            </w:pPr>
            <w:r>
              <w:rPr>
                <w:color w:val="000000"/>
                <w:sz w:val="20"/>
                <w:szCs w:val="20"/>
              </w:rPr>
              <w:t>₦44.5m (3 months) / ₦86.4m (6 months). Manageable for a focused pilot.</w:t>
            </w:r>
          </w:p>
        </w:tc>
      </w:tr>
      <w:tr w:rsidR="00E13648" w14:paraId="50E9BB8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62AF448" w14:textId="77777777" w:rsidR="00E13648" w:rsidRDefault="00000000" w:rsidP="004C0297">
            <w:pPr>
              <w:jc w:val="both"/>
            </w:pPr>
            <w:r>
              <w:rPr>
                <w:b/>
                <w:bCs/>
                <w:color w:val="000000"/>
                <w:sz w:val="20"/>
                <w:szCs w:val="20"/>
              </w:rPr>
              <w:t>Overall viability</w:t>
            </w:r>
          </w:p>
        </w:tc>
        <w:tc>
          <w:tcPr>
            <w:tcW w:w="7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EA55C7" w14:textId="77777777" w:rsidR="00E13648" w:rsidRDefault="00000000" w:rsidP="004C0297">
            <w:pPr>
              <w:jc w:val="both"/>
            </w:pPr>
            <w:r>
              <w:rPr>
                <w:color w:val="000000"/>
                <w:sz w:val="20"/>
                <w:szCs w:val="20"/>
              </w:rPr>
              <w:t>YES – conditional on corridor-focused pilot, driver-friendly economics, and early regulatory/union engagement.</w:t>
            </w:r>
          </w:p>
        </w:tc>
      </w:tr>
    </w:tbl>
    <w:p w14:paraId="31CB731F" w14:textId="77777777" w:rsidR="00E13648" w:rsidRDefault="00000000" w:rsidP="004C0297">
      <w:pPr>
        <w:pStyle w:val="Heading1"/>
        <w:spacing w:before="300"/>
        <w:jc w:val="both"/>
      </w:pPr>
      <w:r>
        <w:t>2. Evidence Summary</w:t>
      </w:r>
    </w:p>
    <w:p w14:paraId="650C40A1" w14:textId="77777777" w:rsidR="00E13648" w:rsidRDefault="00000000" w:rsidP="004C0297">
      <w:pPr>
        <w:pStyle w:val="Heading2"/>
        <w:jc w:val="both"/>
      </w:pPr>
      <w:r>
        <w:t>2.1 Market &amp; Demand</w:t>
      </w:r>
    </w:p>
    <w:p w14:paraId="22184E8F" w14:textId="77777777" w:rsidR="00E13648" w:rsidRDefault="00000000" w:rsidP="004C0297">
      <w:pPr>
        <w:spacing w:after="120"/>
        <w:jc w:val="both"/>
      </w:pPr>
      <w:r>
        <w:t>Verified population data place the Port Harcourt urban agglomeration at approximately 3.8–4.0 million (2025–2026 UN-linked estimates). Demand is geographically concentrated: GRA (corporate/expat), Trans-Amadi (oil &amp; gas), the airport corridor, and the UNIPORT axis generate the highest willingness-to-pay and trip density. Informal transport still dominates mass-market movement, so ride-hailing remains a middle/upper-middle and corporate product.</w:t>
      </w:r>
    </w:p>
    <w:p w14:paraId="198A9746" w14:textId="77777777" w:rsidR="00E13648" w:rsidRDefault="00000000" w:rsidP="004C0297">
      <w:pPr>
        <w:spacing w:after="200"/>
        <w:jc w:val="both"/>
      </w:pPr>
      <w:r>
        <w:rPr>
          <w:b/>
          <w:bCs/>
        </w:rPr>
        <w:t xml:space="preserve">Implication: </w:t>
      </w:r>
      <w:r>
        <w:t xml:space="preserve">The absolute market is smaller than Lagos, but the high-value cores are dense enough to support a focused pilot with measurable </w:t>
      </w:r>
      <w:proofErr w:type="spellStart"/>
      <w:r>
        <w:t>utilisation</w:t>
      </w:r>
      <w:proofErr w:type="spellEnd"/>
      <w:r>
        <w:t>.</w:t>
      </w:r>
    </w:p>
    <w:p w14:paraId="74DA0B4E" w14:textId="77777777" w:rsidR="00E13648" w:rsidRDefault="00000000" w:rsidP="004C0297">
      <w:pPr>
        <w:pStyle w:val="Heading2"/>
        <w:jc w:val="both"/>
      </w:pPr>
      <w:r>
        <w:t>2.2 Competition</w:t>
      </w:r>
    </w:p>
    <w:p w14:paraId="6BF095FC" w14:textId="77777777" w:rsidR="00E13648" w:rsidRDefault="00000000" w:rsidP="004C0297">
      <w:pPr>
        <w:spacing w:after="120"/>
        <w:jc w:val="both"/>
      </w:pPr>
      <w:r>
        <w:t xml:space="preserve">Bolt and </w:t>
      </w:r>
      <w:proofErr w:type="spellStart"/>
      <w:r>
        <w:t>inDrive</w:t>
      </w:r>
      <w:proofErr w:type="spellEnd"/>
      <w:r>
        <w:t xml:space="preserve"> are the primary platforms. </w:t>
      </w:r>
      <w:proofErr w:type="spellStart"/>
      <w:r>
        <w:t>SimpliRide</w:t>
      </w:r>
      <w:proofErr w:type="spellEnd"/>
      <w:r>
        <w:t xml:space="preserve"> operates with a flat ₦1,500 daily driver subscription (zero percentage commission). Uber has effectively exited or sharply reduced Nigerian operations as of </w:t>
      </w:r>
      <w:r>
        <w:lastRenderedPageBreak/>
        <w:t>September 2026. Typical medium-trip fares (5–10 km) range from ₦900–1,400 (</w:t>
      </w:r>
      <w:proofErr w:type="spellStart"/>
      <w:r>
        <w:t>inDrive</w:t>
      </w:r>
      <w:proofErr w:type="spellEnd"/>
      <w:r>
        <w:t xml:space="preserve"> negotiated) to ₦1,600–2,500 (Bolt). Airport-to-GRA transfers sit in the ₦7,000–12,000 band.</w:t>
      </w:r>
    </w:p>
    <w:p w14:paraId="07B6DF0F" w14:textId="77777777" w:rsidR="00E13648" w:rsidRDefault="00000000" w:rsidP="004C0297">
      <w:pPr>
        <w:spacing w:after="120"/>
        <w:jc w:val="both"/>
      </w:pPr>
      <w:r>
        <w:t>Documented gaps include unpredictable surge pricing, driver dissatisfaction with percentage commissions, and limited consistent local support outside the strongest corridors.</w:t>
      </w:r>
    </w:p>
    <w:p w14:paraId="0D97F554" w14:textId="77777777" w:rsidR="00E13648" w:rsidRDefault="00000000" w:rsidP="004C0297">
      <w:pPr>
        <w:spacing w:after="200"/>
        <w:jc w:val="both"/>
      </w:pPr>
      <w:r>
        <w:rPr>
          <w:b/>
          <w:bCs/>
        </w:rPr>
        <w:t xml:space="preserve">Implication: </w:t>
      </w:r>
      <w:r>
        <w:t>The market is contested but not locked. A platform that offers better net driver earnings and more predictable rider experience has a realistic path to share.</w:t>
      </w:r>
    </w:p>
    <w:p w14:paraId="19AB57CF" w14:textId="77777777" w:rsidR="00E13648" w:rsidRDefault="00000000" w:rsidP="004C0297">
      <w:pPr>
        <w:pStyle w:val="Heading2"/>
        <w:jc w:val="both"/>
      </w:pPr>
      <w:r>
        <w:t>2.3 Drivers</w:t>
      </w:r>
    </w:p>
    <w:p w14:paraId="5D544DD4" w14:textId="77777777" w:rsidR="00E13648" w:rsidRDefault="00000000" w:rsidP="004C0297">
      <w:pPr>
        <w:spacing w:after="120"/>
        <w:jc w:val="both"/>
      </w:pPr>
      <w:r>
        <w:t xml:space="preserve">Multi-homing is the norm. Commission rates of 15–20% (Bolt) and residual fuel/maintenance inflation have produced visible driver push-back, including </w:t>
      </w:r>
      <w:proofErr w:type="spellStart"/>
      <w:r>
        <w:t>organised</w:t>
      </w:r>
      <w:proofErr w:type="spellEnd"/>
      <w:r>
        <w:t xml:space="preserve"> attempts in Port Harcourt to add 50% to quoted Bolt fares. Gross weekly earnings </w:t>
      </w:r>
      <w:proofErr w:type="gramStart"/>
      <w:r>
        <w:t>estimates</w:t>
      </w:r>
      <w:proofErr w:type="gramEnd"/>
      <w:r>
        <w:t xml:space="preserve"> for Port Harcourt sit below Lagos levels (approximately ₦100,000–180,000 before costs). Drivers respond to lower effective take rates, flat subscription models, and transparent local support.</w:t>
      </w:r>
    </w:p>
    <w:p w14:paraId="063AAF9C" w14:textId="77777777" w:rsidR="00E13648" w:rsidRDefault="00000000" w:rsidP="004C0297">
      <w:pPr>
        <w:spacing w:after="200"/>
        <w:jc w:val="both"/>
      </w:pPr>
      <w:r>
        <w:rPr>
          <w:b/>
          <w:bCs/>
        </w:rPr>
        <w:t xml:space="preserve">Implication: </w:t>
      </w:r>
      <w:r>
        <w:t>Supply can be attracted, but only with economics that visibly improve on the status quo. Early incentives will be required; they should be designed to taper once density is achieved.</w:t>
      </w:r>
    </w:p>
    <w:p w14:paraId="146FB53D" w14:textId="77777777" w:rsidR="00E13648" w:rsidRDefault="00000000" w:rsidP="004C0297">
      <w:pPr>
        <w:pStyle w:val="Heading2"/>
        <w:jc w:val="both"/>
      </w:pPr>
      <w:r>
        <w:t>2.4 Regulation &amp; Operations</w:t>
      </w:r>
    </w:p>
    <w:p w14:paraId="1C88962A" w14:textId="77777777" w:rsidR="00E13648" w:rsidRDefault="00000000" w:rsidP="004C0297">
      <w:pPr>
        <w:spacing w:after="120"/>
        <w:jc w:val="both"/>
      </w:pPr>
      <w:r>
        <w:t xml:space="preserve">There is no fully enacted national ride-hailing statute. Rivers State has previously attempted vehicle registration levies on e-hailing drivers (2022) and continues to experience multiple informal tickets and tout activity. Commercial driver protests over harassment and multiple levies occurred in 2026. Standard requirements (CAC registration, FRSC </w:t>
      </w:r>
      <w:proofErr w:type="spellStart"/>
      <w:r>
        <w:t>licence</w:t>
      </w:r>
      <w:proofErr w:type="spellEnd"/>
      <w:r>
        <w:t>, commercial insurance, roadworthiness) apply.</w:t>
      </w:r>
    </w:p>
    <w:p w14:paraId="3EF59B28" w14:textId="77777777" w:rsidR="00E13648" w:rsidRDefault="00000000" w:rsidP="004C0297">
      <w:pPr>
        <w:spacing w:after="200"/>
        <w:jc w:val="both"/>
      </w:pPr>
      <w:r>
        <w:rPr>
          <w:b/>
          <w:bCs/>
        </w:rPr>
        <w:t xml:space="preserve">Implication: </w:t>
      </w:r>
      <w:r>
        <w:t>Regulatory risk is real but manageable with early, proactive engagement of the Rivers State transport authorities and the local AUATON chapter. Budget and management attention for this line item are non-negotiable.</w:t>
      </w:r>
    </w:p>
    <w:p w14:paraId="6F4E1576" w14:textId="77777777" w:rsidR="00E13648" w:rsidRDefault="00000000" w:rsidP="004C0297">
      <w:pPr>
        <w:pStyle w:val="Heading2"/>
        <w:jc w:val="both"/>
      </w:pPr>
      <w:r>
        <w:t>2.5 Launch Economics</w:t>
      </w:r>
    </w:p>
    <w:p w14:paraId="219A3818" w14:textId="77777777" w:rsidR="00E13648" w:rsidRDefault="00000000" w:rsidP="004C0297">
      <w:pPr>
        <w:spacing w:after="120"/>
        <w:jc w:val="both"/>
      </w:pPr>
      <w:r>
        <w:t>Refined modelling (see supporting Excel workbook) produces the following Base-case planning figures: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E13648" w14:paraId="1B060585" w14:textId="77777777">
        <w:tblPrEx>
          <w:tblCellMar>
            <w:top w:w="0" w:type="dxa"/>
            <w:bottom w:w="0" w:type="dxa"/>
          </w:tblCellMar>
        </w:tblPrEx>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466BDAC" w14:textId="77777777" w:rsidR="00E13648" w:rsidRDefault="00000000" w:rsidP="004C0297">
            <w:pPr>
              <w:jc w:val="both"/>
            </w:pPr>
            <w:r>
              <w:rPr>
                <w:b/>
                <w:bCs/>
                <w:color w:val="FFFFFF"/>
                <w:sz w:val="20"/>
                <w:szCs w:val="20"/>
              </w:rPr>
              <w:t>Scenario</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48737DD" w14:textId="77777777" w:rsidR="00E13648" w:rsidRDefault="00000000" w:rsidP="004C0297">
            <w:pPr>
              <w:jc w:val="both"/>
            </w:pPr>
            <w:r>
              <w:rPr>
                <w:b/>
                <w:bCs/>
                <w:color w:val="FFFFFF"/>
                <w:sz w:val="20"/>
                <w:szCs w:val="20"/>
              </w:rPr>
              <w:t>3-Month Cost</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27704F5" w14:textId="77777777" w:rsidR="00E13648" w:rsidRDefault="00000000" w:rsidP="004C0297">
            <w:pPr>
              <w:jc w:val="both"/>
            </w:pPr>
            <w:r>
              <w:rPr>
                <w:b/>
                <w:bCs/>
                <w:color w:val="FFFFFF"/>
                <w:sz w:val="20"/>
                <w:szCs w:val="20"/>
              </w:rPr>
              <w:t>6-Month Cumulative</w:t>
            </w:r>
          </w:p>
        </w:tc>
      </w:tr>
      <w:tr w:rsidR="00E13648" w14:paraId="1ED8BD5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E82FA" w14:textId="77777777" w:rsidR="00E13648" w:rsidRDefault="00000000" w:rsidP="004C0297">
            <w:pPr>
              <w:jc w:val="both"/>
            </w:pPr>
            <w:r>
              <w:rPr>
                <w:color w:val="000000"/>
                <w:sz w:val="20"/>
                <w:szCs w:val="20"/>
              </w:rPr>
              <w:t>Lean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C38B7C" w14:textId="77777777" w:rsidR="00E13648" w:rsidRDefault="00000000" w:rsidP="004C0297">
            <w:pPr>
              <w:jc w:val="both"/>
            </w:pPr>
            <w:r>
              <w:rPr>
                <w:color w:val="000000"/>
                <w:sz w:val="20"/>
                <w:szCs w:val="20"/>
              </w:rPr>
              <w:t>₦13.6 million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AE5A5" w14:textId="77777777" w:rsidR="00E13648" w:rsidRDefault="00000000" w:rsidP="004C0297">
            <w:pPr>
              <w:jc w:val="both"/>
            </w:pPr>
            <w:r>
              <w:rPr>
                <w:color w:val="000000"/>
                <w:sz w:val="20"/>
                <w:szCs w:val="20"/>
              </w:rPr>
              <w:t>₦23.1 million</w:t>
            </w:r>
          </w:p>
        </w:tc>
      </w:tr>
      <w:tr w:rsidR="00E13648" w14:paraId="334BE43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BE56B21" w14:textId="77777777" w:rsidR="00E13648" w:rsidRDefault="00000000" w:rsidP="004C0297">
            <w:pPr>
              <w:jc w:val="both"/>
            </w:pPr>
            <w:r>
              <w:rPr>
                <w:b/>
                <w:bCs/>
                <w:color w:val="000000"/>
                <w:sz w:val="20"/>
                <w:szCs w:val="20"/>
              </w:rPr>
              <w:t>Base (recommended)</w:t>
            </w:r>
          </w:p>
        </w:tc>
        <w:tc>
          <w:tcPr>
            <w:tcW w:w="33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2B4BC2BB" w14:textId="77777777" w:rsidR="00E13648" w:rsidRDefault="00000000" w:rsidP="004C0297">
            <w:pPr>
              <w:jc w:val="both"/>
            </w:pPr>
            <w:r>
              <w:rPr>
                <w:b/>
                <w:bCs/>
                <w:color w:val="000000"/>
                <w:sz w:val="20"/>
                <w:szCs w:val="20"/>
              </w:rPr>
              <w:t>₦44.5 million</w:t>
            </w:r>
          </w:p>
        </w:tc>
        <w:tc>
          <w:tcPr>
            <w:tcW w:w="33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147A4F96" w14:textId="77777777" w:rsidR="00E13648" w:rsidRDefault="00000000" w:rsidP="004C0297">
            <w:pPr>
              <w:jc w:val="both"/>
            </w:pPr>
            <w:r>
              <w:rPr>
                <w:b/>
                <w:bCs/>
                <w:color w:val="000000"/>
                <w:sz w:val="20"/>
                <w:szCs w:val="20"/>
              </w:rPr>
              <w:t>₦86.4 million</w:t>
            </w:r>
          </w:p>
        </w:tc>
      </w:tr>
      <w:tr w:rsidR="00E13648" w14:paraId="00CEF98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DF635" w14:textId="77777777" w:rsidR="00E13648" w:rsidRDefault="00000000" w:rsidP="004C0297">
            <w:pPr>
              <w:jc w:val="both"/>
            </w:pPr>
            <w:r>
              <w:rPr>
                <w:color w:val="000000"/>
                <w:sz w:val="20"/>
                <w:szCs w:val="20"/>
              </w:rPr>
              <w:t>Aggressive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B10E4" w14:textId="77777777" w:rsidR="00E13648" w:rsidRDefault="00000000" w:rsidP="004C0297">
            <w:pPr>
              <w:jc w:val="both"/>
            </w:pPr>
            <w:r>
              <w:rPr>
                <w:color w:val="000000"/>
                <w:sz w:val="20"/>
                <w:szCs w:val="20"/>
              </w:rPr>
              <w:t>₦124.3 million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3D92A" w14:textId="77777777" w:rsidR="00E13648" w:rsidRDefault="00000000" w:rsidP="004C0297">
            <w:pPr>
              <w:jc w:val="both"/>
            </w:pPr>
            <w:r>
              <w:rPr>
                <w:color w:val="000000"/>
                <w:sz w:val="20"/>
                <w:szCs w:val="20"/>
              </w:rPr>
              <w:t>₦262.9 million</w:t>
            </w:r>
          </w:p>
        </w:tc>
      </w:tr>
    </w:tbl>
    <w:p w14:paraId="1F4663CA" w14:textId="77777777" w:rsidR="00E13648" w:rsidRDefault="00000000" w:rsidP="004C0297">
      <w:pPr>
        <w:spacing w:before="160" w:after="200"/>
        <w:jc w:val="both"/>
      </w:pPr>
      <w:r>
        <w:t xml:space="preserve">These figures assume an asset-light model, focused corridor coverage, and sustained but tapering driver incentives. They are planning numbers, not fixed budgets; actual </w:t>
      </w:r>
      <w:proofErr w:type="gramStart"/>
      <w:r>
        <w:t>spend</w:t>
      </w:r>
      <w:proofErr w:type="gramEnd"/>
      <w:r>
        <w:t xml:space="preserve"> will depend on incentive response and regulatory outcomes.</w:t>
      </w:r>
    </w:p>
    <w:p w14:paraId="6A6F1060" w14:textId="77777777" w:rsidR="00E13648" w:rsidRDefault="00000000" w:rsidP="004C0297">
      <w:pPr>
        <w:pStyle w:val="Heading1"/>
        <w:jc w:val="both"/>
      </w:pPr>
      <w:r>
        <w:t>3. Biggest Opportunity and Biggest Risks</w:t>
      </w:r>
    </w:p>
    <w:p w14:paraId="41D42FF8" w14:textId="77777777" w:rsidR="00E13648" w:rsidRDefault="00000000" w:rsidP="004C0297">
      <w:pPr>
        <w:pStyle w:val="Heading2"/>
        <w:jc w:val="both"/>
      </w:pPr>
      <w:r>
        <w:t>Opportunity</w:t>
      </w:r>
    </w:p>
    <w:p w14:paraId="04410D45" w14:textId="77777777" w:rsidR="00E13648" w:rsidRDefault="00000000" w:rsidP="004C0297">
      <w:pPr>
        <w:spacing w:after="200"/>
        <w:jc w:val="both"/>
      </w:pPr>
      <w:r>
        <w:t>A driver-friendly economic model combined with reliable service in the GRA–Trans-Amadi–Airport triangle can capture meaningful share in a market that is already paying for ride-hailing but is not fully satisfied. Corporate and estate partnerships offer a high-ROI acquisition channel that is less crowded than mass digital marketing in Lagos.</w:t>
      </w:r>
    </w:p>
    <w:p w14:paraId="64F67149" w14:textId="77777777" w:rsidR="00DE532E" w:rsidRDefault="00DE532E" w:rsidP="004C0297">
      <w:pPr>
        <w:spacing w:after="200"/>
        <w:jc w:val="both"/>
      </w:pPr>
    </w:p>
    <w:p w14:paraId="4EA6D12E" w14:textId="77777777" w:rsidR="00E13648" w:rsidRDefault="00000000" w:rsidP="004C0297">
      <w:pPr>
        <w:pStyle w:val="Heading2"/>
        <w:jc w:val="both"/>
      </w:pPr>
      <w:r>
        <w:lastRenderedPageBreak/>
        <w:t>Risks</w:t>
      </w:r>
    </w:p>
    <w:p w14:paraId="70B3A5A1" w14:textId="027E20E3" w:rsidR="00E13648" w:rsidRDefault="00000000" w:rsidP="004C0297">
      <w:pPr>
        <w:pStyle w:val="ListParagraph"/>
        <w:numPr>
          <w:ilvl w:val="0"/>
          <w:numId w:val="2"/>
        </w:numPr>
        <w:jc w:val="both"/>
      </w:pPr>
      <w:r>
        <w:t xml:space="preserve">Driver cost pressure </w:t>
      </w:r>
      <w:r w:rsidR="00DE532E">
        <w:t>leads</w:t>
      </w:r>
      <w:r>
        <w:t xml:space="preserve"> to supply instability or off-app </w:t>
      </w:r>
      <w:proofErr w:type="spellStart"/>
      <w:r>
        <w:t>behaviour</w:t>
      </w:r>
      <w:proofErr w:type="spellEnd"/>
      <w:r>
        <w:t xml:space="preserve"> if incentives are withdrawn too early.</w:t>
      </w:r>
    </w:p>
    <w:p w14:paraId="36E5FC1D" w14:textId="77777777" w:rsidR="00E13648" w:rsidRDefault="00000000" w:rsidP="004C0297">
      <w:pPr>
        <w:pStyle w:val="ListParagraph"/>
        <w:numPr>
          <w:ilvl w:val="0"/>
          <w:numId w:val="2"/>
        </w:numPr>
        <w:jc w:val="both"/>
      </w:pPr>
      <w:r>
        <w:t xml:space="preserve">Informal levies, touts and possible future state rules increasing effective operating </w:t>
      </w:r>
      <w:proofErr w:type="gramStart"/>
      <w:r>
        <w:t>cost</w:t>
      </w:r>
      <w:proofErr w:type="gramEnd"/>
      <w:r>
        <w:t>.</w:t>
      </w:r>
    </w:p>
    <w:p w14:paraId="3005AA4B" w14:textId="77777777" w:rsidR="00E13648" w:rsidRDefault="00000000" w:rsidP="004C0297">
      <w:pPr>
        <w:pStyle w:val="ListParagraph"/>
        <w:numPr>
          <w:ilvl w:val="0"/>
          <w:numId w:val="2"/>
        </w:numPr>
        <w:jc w:val="both"/>
      </w:pPr>
      <w:r>
        <w:t>Lower overall trip density outside core corridors, making unit economics tighter than Lagos.</w:t>
      </w:r>
    </w:p>
    <w:p w14:paraId="6462DD34" w14:textId="77777777" w:rsidR="00E13648" w:rsidRDefault="00000000" w:rsidP="004C0297">
      <w:pPr>
        <w:pStyle w:val="ListParagraph"/>
        <w:numPr>
          <w:ilvl w:val="0"/>
          <w:numId w:val="2"/>
        </w:numPr>
        <w:spacing w:after="200"/>
        <w:jc w:val="both"/>
      </w:pPr>
      <w:r>
        <w:t>Weak multi-homing loyalty; drivers will leave quickly if net earnings deteriorate.</w:t>
      </w:r>
    </w:p>
    <w:p w14:paraId="3FCD0B8D" w14:textId="77777777" w:rsidR="00E13648" w:rsidRDefault="00000000" w:rsidP="004C0297">
      <w:pPr>
        <w:pStyle w:val="Heading1"/>
        <w:jc w:val="both"/>
      </w:pPr>
      <w:r>
        <w:t>4. What Keyen Must Do Differently</w:t>
      </w:r>
    </w:p>
    <w:p w14:paraId="3840FD22" w14:textId="77777777" w:rsidR="00E13648" w:rsidRDefault="00000000" w:rsidP="004C0297">
      <w:pPr>
        <w:pStyle w:val="ListParagraph"/>
        <w:numPr>
          <w:ilvl w:val="0"/>
          <w:numId w:val="3"/>
        </w:numPr>
        <w:jc w:val="both"/>
      </w:pPr>
      <w:r>
        <w:rPr>
          <w:b/>
          <w:bCs/>
        </w:rPr>
        <w:t xml:space="preserve">Economics: </w:t>
      </w:r>
      <w:r>
        <w:t xml:space="preserve">Target effective take rate of 10–12% or offer a hybrid subscription option. This is the primary </w:t>
      </w:r>
      <w:proofErr w:type="gramStart"/>
      <w:r>
        <w:t>lever</w:t>
      </w:r>
      <w:proofErr w:type="gramEnd"/>
      <w:r>
        <w:t xml:space="preserve"> for supply.</w:t>
      </w:r>
    </w:p>
    <w:p w14:paraId="303BE42F" w14:textId="77777777" w:rsidR="00E13648" w:rsidRDefault="00000000" w:rsidP="004C0297">
      <w:pPr>
        <w:pStyle w:val="ListParagraph"/>
        <w:numPr>
          <w:ilvl w:val="0"/>
          <w:numId w:val="3"/>
        </w:numPr>
        <w:jc w:val="both"/>
      </w:pPr>
      <w:r>
        <w:rPr>
          <w:b/>
          <w:bCs/>
        </w:rPr>
        <w:t xml:space="preserve">Geography: </w:t>
      </w:r>
      <w:r>
        <w:t xml:space="preserve">Launch only in GRA + Airport + Trans-Amadi + selected estates. Expand only after </w:t>
      </w:r>
      <w:proofErr w:type="spellStart"/>
      <w:r>
        <w:t>utilisation</w:t>
      </w:r>
      <w:proofErr w:type="spellEnd"/>
      <w:r>
        <w:t xml:space="preserve"> and driver retention metrics are proven.</w:t>
      </w:r>
    </w:p>
    <w:p w14:paraId="04ADA8F5" w14:textId="77777777" w:rsidR="00E13648" w:rsidRDefault="00000000" w:rsidP="004C0297">
      <w:pPr>
        <w:pStyle w:val="ListParagraph"/>
        <w:numPr>
          <w:ilvl w:val="0"/>
          <w:numId w:val="3"/>
        </w:numPr>
        <w:jc w:val="both"/>
      </w:pPr>
      <w:r>
        <w:rPr>
          <w:b/>
          <w:bCs/>
        </w:rPr>
        <w:t xml:space="preserve">Local engagement: </w:t>
      </w:r>
      <w:r>
        <w:t>Open dialogue with Rivers State transport authorities and the local AUATON chapter before or at launch.</w:t>
      </w:r>
    </w:p>
    <w:p w14:paraId="1537763B" w14:textId="77777777" w:rsidR="00E13648" w:rsidRDefault="00000000" w:rsidP="004C0297">
      <w:pPr>
        <w:pStyle w:val="ListParagraph"/>
        <w:numPr>
          <w:ilvl w:val="0"/>
          <w:numId w:val="3"/>
        </w:numPr>
        <w:jc w:val="both"/>
      </w:pPr>
      <w:r>
        <w:rPr>
          <w:b/>
          <w:bCs/>
        </w:rPr>
        <w:t xml:space="preserve">Corporate focus: </w:t>
      </w:r>
      <w:proofErr w:type="spellStart"/>
      <w:r>
        <w:t>Prioritise</w:t>
      </w:r>
      <w:proofErr w:type="spellEnd"/>
      <w:r>
        <w:t xml:space="preserve"> oil-company, hotel and estate accounts; these segments value reliability and safety more than pure price.</w:t>
      </w:r>
    </w:p>
    <w:p w14:paraId="0BBF63E5" w14:textId="77777777" w:rsidR="00E13648" w:rsidRDefault="00000000" w:rsidP="004C0297">
      <w:pPr>
        <w:pStyle w:val="ListParagraph"/>
        <w:numPr>
          <w:ilvl w:val="0"/>
          <w:numId w:val="3"/>
        </w:numPr>
        <w:spacing w:after="200"/>
        <w:jc w:val="both"/>
      </w:pPr>
      <w:r>
        <w:rPr>
          <w:b/>
          <w:bCs/>
        </w:rPr>
        <w:t xml:space="preserve">Measurement: </w:t>
      </w:r>
      <w:r>
        <w:t>Define clear 8–</w:t>
      </w:r>
      <w:proofErr w:type="gramStart"/>
      <w:r>
        <w:t>12 week</w:t>
      </w:r>
      <w:proofErr w:type="gramEnd"/>
      <w:r>
        <w:t xml:space="preserve"> pilot KPIs (driver retention, trips per active driver, cancellation rate, contribution margin) and a pre-agreed go/no-go threshold.</w:t>
      </w:r>
    </w:p>
    <w:p w14:paraId="4867ECFB" w14:textId="77777777" w:rsidR="00E13648" w:rsidRDefault="00000000" w:rsidP="004C0297">
      <w:pPr>
        <w:pStyle w:val="Heading1"/>
        <w:jc w:val="both"/>
      </w:pPr>
      <w:r>
        <w:t>5. Recommended Pilot Shape</w:t>
      </w:r>
    </w:p>
    <w:p w14:paraId="55FB3A24" w14:textId="77777777" w:rsidR="00E13648" w:rsidRDefault="00000000" w:rsidP="004C0297">
      <w:pPr>
        <w:spacing w:after="120"/>
        <w:jc w:val="both"/>
      </w:pPr>
      <w:r>
        <w:t xml:space="preserve">An initial pilot of 50–150 drivers concentrated on three to four corridors, lasting 8–12 weeks, with heavy early incentives that are contractually designed to taper. Seed the network with corporate and estate accounts. Measure </w:t>
      </w:r>
      <w:proofErr w:type="spellStart"/>
      <w:r>
        <w:t>utilisation</w:t>
      </w:r>
      <w:proofErr w:type="spellEnd"/>
      <w:r>
        <w:t>, driver net earnings and rider retention weekly. Only expand beyond the pilot corridors once the Base-case unit economics are shown to be achievable in live operation.</w:t>
      </w:r>
    </w:p>
    <w:p w14:paraId="21F25291" w14:textId="77777777" w:rsidR="00E13648" w:rsidRDefault="00000000" w:rsidP="004C0297">
      <w:pPr>
        <w:pStyle w:val="Heading1"/>
        <w:jc w:val="both"/>
      </w:pPr>
      <w:r>
        <w:t>6. Final Clear Assessment</w:t>
      </w:r>
    </w:p>
    <w:p w14:paraId="68565632" w14:textId="77777777" w:rsidR="00E13648" w:rsidRDefault="00000000" w:rsidP="004C0297">
      <w:pPr>
        <w:spacing w:after="160"/>
        <w:jc w:val="both"/>
      </w:pPr>
      <w:r>
        <w:rPr>
          <w:b/>
          <w:bCs/>
          <w:sz w:val="24"/>
          <w:szCs w:val="24"/>
        </w:rPr>
        <w:t>Port Harcourt is worth seriously considering as a launch market.</w:t>
      </w:r>
    </w:p>
    <w:p w14:paraId="5335ADFB" w14:textId="77777777" w:rsidR="00E13648" w:rsidRDefault="00000000" w:rsidP="004C0297">
      <w:pPr>
        <w:spacing w:after="160"/>
        <w:jc w:val="both"/>
      </w:pPr>
      <w:r>
        <w:t xml:space="preserve">The combination of a multi-million urban population, concentrated high-value demand generators, moderate (not prohibitive) competition, and </w:t>
      </w:r>
      <w:proofErr w:type="gramStart"/>
      <w:r>
        <w:t>visible driver</w:t>
      </w:r>
      <w:proofErr w:type="gramEnd"/>
      <w:r>
        <w:t xml:space="preserve"> dissatisfaction with existing platforms creates a genuine commercial opening. Launch costs in the Base case are within a range that a focused pilot can test without committing the full resources of a Lagos-scale entry.</w:t>
      </w:r>
    </w:p>
    <w:p w14:paraId="4D604CA6" w14:textId="77777777" w:rsidR="00E13648" w:rsidRDefault="00000000" w:rsidP="004C0297">
      <w:pPr>
        <w:spacing w:after="160"/>
        <w:jc w:val="both"/>
      </w:pPr>
      <w:r>
        <w:t xml:space="preserve">The recommendation is therefore a </w:t>
      </w:r>
      <w:r>
        <w:rPr>
          <w:b/>
          <w:bCs/>
        </w:rPr>
        <w:t>conditional GO</w:t>
      </w:r>
      <w:r>
        <w:t xml:space="preserve">: proceed to a tightly scoped pilot, provided that (a) driver economics are set at a level that is demonstrably competitive with Bolt and </w:t>
      </w:r>
      <w:proofErr w:type="spellStart"/>
      <w:r>
        <w:t>inDrive</w:t>
      </w:r>
      <w:proofErr w:type="spellEnd"/>
      <w:r>
        <w:t>, (b) regulatory and union engagement begins immediately, and (c) success criteria and a kill-switch are defined before capital is deployed.</w:t>
      </w:r>
    </w:p>
    <w:p w14:paraId="02696DAD" w14:textId="77777777" w:rsidR="00E13648" w:rsidRDefault="00000000" w:rsidP="004C0297">
      <w:pPr>
        <w:spacing w:after="160"/>
        <w:jc w:val="both"/>
      </w:pPr>
      <w:r>
        <w:t>If those conditions cannot be met, the market should be deferred. Under the conditions above, the evidence supports treating Port Harcourt as a viable alternative or secondary launch market while Lagos work continues.</w:t>
      </w:r>
    </w:p>
    <w:p w14:paraId="21A13282" w14:textId="77777777" w:rsidR="00E13648" w:rsidRDefault="00000000">
      <w:pPr>
        <w:spacing w:before="300" w:after="80"/>
      </w:pPr>
      <w:r>
        <w:rPr>
          <w:b/>
          <w:bCs/>
          <w:color w:val="666666"/>
          <w:sz w:val="20"/>
          <w:szCs w:val="20"/>
        </w:rPr>
        <w:t>Supporting materials</w:t>
      </w:r>
    </w:p>
    <w:p w14:paraId="401B6298" w14:textId="3D44E062" w:rsidR="00E13648" w:rsidRDefault="00000000">
      <w:pPr>
        <w:spacing w:after="40"/>
      </w:pPr>
      <w:r>
        <w:rPr>
          <w:color w:val="666666"/>
          <w:sz w:val="18"/>
          <w:szCs w:val="18"/>
        </w:rPr>
        <w:t>• Full market research analysis</w:t>
      </w:r>
    </w:p>
    <w:p w14:paraId="75A248FE" w14:textId="77777777" w:rsidR="00E13648" w:rsidRDefault="00000000">
      <w:pPr>
        <w:spacing w:after="40"/>
      </w:pPr>
      <w:r>
        <w:rPr>
          <w:color w:val="666666"/>
          <w:sz w:val="18"/>
          <w:szCs w:val="18"/>
        </w:rPr>
        <w:t>• Excel workbook: Keyen_PortHarcourt_Market_Research_Support_Workbook.xlsx (tables, launch-cost model, scenarios, source tracker)</w:t>
      </w:r>
    </w:p>
    <w:p w14:paraId="6DD72810" w14:textId="77777777" w:rsidR="00E13648" w:rsidRDefault="00000000" w:rsidP="004C0297">
      <w:pPr>
        <w:jc w:val="both"/>
      </w:pPr>
      <w:r>
        <w:rPr>
          <w:i/>
          <w:iCs/>
          <w:color w:val="666666"/>
          <w:sz w:val="18"/>
          <w:szCs w:val="18"/>
        </w:rPr>
        <w:t>• All figures and judgments in this document are derived strictly from the research and modelling completed for this engagement.</w:t>
      </w:r>
    </w:p>
    <w:sectPr w:rsidR="00E1364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3CF3B" w14:textId="77777777" w:rsidR="0013401A" w:rsidRDefault="0013401A">
      <w:r>
        <w:separator/>
      </w:r>
    </w:p>
  </w:endnote>
  <w:endnote w:type="continuationSeparator" w:id="0">
    <w:p w14:paraId="58A39937" w14:textId="77777777" w:rsidR="0013401A" w:rsidRDefault="00134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94A1" w14:textId="4BE7A2AE" w:rsidR="00DE532E" w:rsidRPr="00DE532E" w:rsidRDefault="00000000" w:rsidP="00DE532E">
    <w:pPr>
      <w:jc w:val="center"/>
      <w:rPr>
        <w:color w:val="666666"/>
        <w:sz w:val="16"/>
        <w:szCs w:val="16"/>
      </w:rP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DE532E">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DD762" w14:textId="77777777" w:rsidR="0013401A" w:rsidRDefault="0013401A">
      <w:r>
        <w:separator/>
      </w:r>
    </w:p>
  </w:footnote>
  <w:footnote w:type="continuationSeparator" w:id="0">
    <w:p w14:paraId="3A07699F" w14:textId="77777777" w:rsidR="0013401A" w:rsidRDefault="00134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4B153" w14:textId="77777777" w:rsidR="00E13648" w:rsidRDefault="00000000">
    <w:pPr>
      <w:pBdr>
        <w:bottom w:val="single" w:sz="6" w:space="4" w:color="1F4E79"/>
      </w:pBdr>
    </w:pPr>
    <w:proofErr w:type="gramStart"/>
    <w:r>
      <w:rPr>
        <w:color w:val="666666"/>
        <w:sz w:val="18"/>
        <w:szCs w:val="18"/>
      </w:rPr>
      <w:t>Keyen  |</w:t>
    </w:r>
    <w:proofErr w:type="gramEnd"/>
    <w:r>
      <w:rPr>
        <w:color w:val="666666"/>
        <w:sz w:val="18"/>
        <w:szCs w:val="18"/>
      </w:rPr>
      <w:t xml:space="preserve">  Port Harcourt Launch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9397E"/>
    <w:multiLevelType w:val="hybridMultilevel"/>
    <w:tmpl w:val="C1800102"/>
    <w:lvl w:ilvl="0" w:tplc="2BC6D728">
      <w:start w:val="1"/>
      <w:numFmt w:val="bullet"/>
      <w:lvlText w:val="•"/>
      <w:lvlJc w:val="left"/>
      <w:pPr>
        <w:ind w:left="720" w:hanging="360"/>
      </w:pPr>
    </w:lvl>
    <w:lvl w:ilvl="1" w:tplc="CE341EF6">
      <w:numFmt w:val="decimal"/>
      <w:lvlText w:val=""/>
      <w:lvlJc w:val="left"/>
    </w:lvl>
    <w:lvl w:ilvl="2" w:tplc="2612DC46">
      <w:numFmt w:val="decimal"/>
      <w:lvlText w:val=""/>
      <w:lvlJc w:val="left"/>
    </w:lvl>
    <w:lvl w:ilvl="3" w:tplc="0D8AC506">
      <w:numFmt w:val="decimal"/>
      <w:lvlText w:val=""/>
      <w:lvlJc w:val="left"/>
    </w:lvl>
    <w:lvl w:ilvl="4" w:tplc="01EC014E">
      <w:numFmt w:val="decimal"/>
      <w:lvlText w:val=""/>
      <w:lvlJc w:val="left"/>
    </w:lvl>
    <w:lvl w:ilvl="5" w:tplc="64BC13A8">
      <w:numFmt w:val="decimal"/>
      <w:lvlText w:val=""/>
      <w:lvlJc w:val="left"/>
    </w:lvl>
    <w:lvl w:ilvl="6" w:tplc="831E8D02">
      <w:numFmt w:val="decimal"/>
      <w:lvlText w:val=""/>
      <w:lvlJc w:val="left"/>
    </w:lvl>
    <w:lvl w:ilvl="7" w:tplc="1FCC21CA">
      <w:numFmt w:val="decimal"/>
      <w:lvlText w:val=""/>
      <w:lvlJc w:val="left"/>
    </w:lvl>
    <w:lvl w:ilvl="8" w:tplc="A9E06FA0">
      <w:numFmt w:val="decimal"/>
      <w:lvlText w:val=""/>
      <w:lvlJc w:val="left"/>
    </w:lvl>
  </w:abstractNum>
  <w:abstractNum w:abstractNumId="1" w15:restartNumberingAfterBreak="0">
    <w:nsid w:val="219F7A46"/>
    <w:multiLevelType w:val="hybridMultilevel"/>
    <w:tmpl w:val="64A443BC"/>
    <w:lvl w:ilvl="0" w:tplc="D4649122">
      <w:start w:val="1"/>
      <w:numFmt w:val="bullet"/>
      <w:lvlText w:val="•"/>
      <w:lvlJc w:val="left"/>
      <w:pPr>
        <w:ind w:left="720" w:hanging="360"/>
      </w:pPr>
    </w:lvl>
    <w:lvl w:ilvl="1" w:tplc="6598E1AE">
      <w:numFmt w:val="decimal"/>
      <w:lvlText w:val=""/>
      <w:lvlJc w:val="left"/>
    </w:lvl>
    <w:lvl w:ilvl="2" w:tplc="4FF62758">
      <w:numFmt w:val="decimal"/>
      <w:lvlText w:val=""/>
      <w:lvlJc w:val="left"/>
    </w:lvl>
    <w:lvl w:ilvl="3" w:tplc="E58CF174">
      <w:numFmt w:val="decimal"/>
      <w:lvlText w:val=""/>
      <w:lvlJc w:val="left"/>
    </w:lvl>
    <w:lvl w:ilvl="4" w:tplc="8AB262BC">
      <w:numFmt w:val="decimal"/>
      <w:lvlText w:val=""/>
      <w:lvlJc w:val="left"/>
    </w:lvl>
    <w:lvl w:ilvl="5" w:tplc="20C4709C">
      <w:numFmt w:val="decimal"/>
      <w:lvlText w:val=""/>
      <w:lvlJc w:val="left"/>
    </w:lvl>
    <w:lvl w:ilvl="6" w:tplc="784A55A4">
      <w:numFmt w:val="decimal"/>
      <w:lvlText w:val=""/>
      <w:lvlJc w:val="left"/>
    </w:lvl>
    <w:lvl w:ilvl="7" w:tplc="C52A5884">
      <w:numFmt w:val="decimal"/>
      <w:lvlText w:val=""/>
      <w:lvlJc w:val="left"/>
    </w:lvl>
    <w:lvl w:ilvl="8" w:tplc="58AC179A">
      <w:numFmt w:val="decimal"/>
      <w:lvlText w:val=""/>
      <w:lvlJc w:val="left"/>
    </w:lvl>
  </w:abstractNum>
  <w:abstractNum w:abstractNumId="2" w15:restartNumberingAfterBreak="0">
    <w:nsid w:val="36C01AA6"/>
    <w:multiLevelType w:val="hybridMultilevel"/>
    <w:tmpl w:val="35B83F42"/>
    <w:lvl w:ilvl="0" w:tplc="306876A8">
      <w:start w:val="1"/>
      <w:numFmt w:val="bullet"/>
      <w:lvlText w:val="•"/>
      <w:lvlJc w:val="left"/>
      <w:pPr>
        <w:ind w:left="720" w:hanging="360"/>
      </w:pPr>
    </w:lvl>
    <w:lvl w:ilvl="1" w:tplc="7130CA62">
      <w:numFmt w:val="decimal"/>
      <w:lvlText w:val=""/>
      <w:lvlJc w:val="left"/>
    </w:lvl>
    <w:lvl w:ilvl="2" w:tplc="9150176E">
      <w:numFmt w:val="decimal"/>
      <w:lvlText w:val=""/>
      <w:lvlJc w:val="left"/>
    </w:lvl>
    <w:lvl w:ilvl="3" w:tplc="4036B5B6">
      <w:numFmt w:val="decimal"/>
      <w:lvlText w:val=""/>
      <w:lvlJc w:val="left"/>
    </w:lvl>
    <w:lvl w:ilvl="4" w:tplc="89B0A97C">
      <w:numFmt w:val="decimal"/>
      <w:lvlText w:val=""/>
      <w:lvlJc w:val="left"/>
    </w:lvl>
    <w:lvl w:ilvl="5" w:tplc="77927B5A">
      <w:numFmt w:val="decimal"/>
      <w:lvlText w:val=""/>
      <w:lvlJc w:val="left"/>
    </w:lvl>
    <w:lvl w:ilvl="6" w:tplc="890ACF7A">
      <w:numFmt w:val="decimal"/>
      <w:lvlText w:val=""/>
      <w:lvlJc w:val="left"/>
    </w:lvl>
    <w:lvl w:ilvl="7" w:tplc="308A84B8">
      <w:numFmt w:val="decimal"/>
      <w:lvlText w:val=""/>
      <w:lvlJc w:val="left"/>
    </w:lvl>
    <w:lvl w:ilvl="8" w:tplc="1B1A0E70">
      <w:numFmt w:val="decimal"/>
      <w:lvlText w:val=""/>
      <w:lvlJc w:val="left"/>
    </w:lvl>
  </w:abstractNum>
  <w:abstractNum w:abstractNumId="3" w15:restartNumberingAfterBreak="0">
    <w:nsid w:val="39524C73"/>
    <w:multiLevelType w:val="hybridMultilevel"/>
    <w:tmpl w:val="37D08482"/>
    <w:lvl w:ilvl="0" w:tplc="CD945A02">
      <w:start w:val="1"/>
      <w:numFmt w:val="decimal"/>
      <w:lvlText w:val="%1."/>
      <w:lvlJc w:val="left"/>
      <w:pPr>
        <w:ind w:left="720" w:hanging="360"/>
      </w:pPr>
    </w:lvl>
    <w:lvl w:ilvl="1" w:tplc="6276BFA8">
      <w:numFmt w:val="decimal"/>
      <w:lvlText w:val=""/>
      <w:lvlJc w:val="left"/>
    </w:lvl>
    <w:lvl w:ilvl="2" w:tplc="38BE43FE">
      <w:numFmt w:val="decimal"/>
      <w:lvlText w:val=""/>
      <w:lvlJc w:val="left"/>
    </w:lvl>
    <w:lvl w:ilvl="3" w:tplc="C50E3F5E">
      <w:numFmt w:val="decimal"/>
      <w:lvlText w:val=""/>
      <w:lvlJc w:val="left"/>
    </w:lvl>
    <w:lvl w:ilvl="4" w:tplc="56E025BC">
      <w:numFmt w:val="decimal"/>
      <w:lvlText w:val=""/>
      <w:lvlJc w:val="left"/>
    </w:lvl>
    <w:lvl w:ilvl="5" w:tplc="0E0091E6">
      <w:numFmt w:val="decimal"/>
      <w:lvlText w:val=""/>
      <w:lvlJc w:val="left"/>
    </w:lvl>
    <w:lvl w:ilvl="6" w:tplc="B8C4DCD0">
      <w:numFmt w:val="decimal"/>
      <w:lvlText w:val=""/>
      <w:lvlJc w:val="left"/>
    </w:lvl>
    <w:lvl w:ilvl="7" w:tplc="B848182E">
      <w:numFmt w:val="decimal"/>
      <w:lvlText w:val=""/>
      <w:lvlJc w:val="left"/>
    </w:lvl>
    <w:lvl w:ilvl="8" w:tplc="173A6700">
      <w:numFmt w:val="decimal"/>
      <w:lvlText w:val=""/>
      <w:lvlJc w:val="left"/>
    </w:lvl>
  </w:abstractNum>
  <w:abstractNum w:abstractNumId="4" w15:restartNumberingAfterBreak="0">
    <w:nsid w:val="39890133"/>
    <w:multiLevelType w:val="hybridMultilevel"/>
    <w:tmpl w:val="47922AA6"/>
    <w:lvl w:ilvl="0" w:tplc="93802ACC">
      <w:start w:val="1"/>
      <w:numFmt w:val="bullet"/>
      <w:lvlText w:val="•"/>
      <w:lvlJc w:val="left"/>
      <w:pPr>
        <w:ind w:left="720" w:hanging="360"/>
      </w:pPr>
    </w:lvl>
    <w:lvl w:ilvl="1" w:tplc="2578C3FE">
      <w:numFmt w:val="decimal"/>
      <w:lvlText w:val=""/>
      <w:lvlJc w:val="left"/>
    </w:lvl>
    <w:lvl w:ilvl="2" w:tplc="69683A90">
      <w:numFmt w:val="decimal"/>
      <w:lvlText w:val=""/>
      <w:lvlJc w:val="left"/>
    </w:lvl>
    <w:lvl w:ilvl="3" w:tplc="FE76C340">
      <w:numFmt w:val="decimal"/>
      <w:lvlText w:val=""/>
      <w:lvlJc w:val="left"/>
    </w:lvl>
    <w:lvl w:ilvl="4" w:tplc="EB469268">
      <w:numFmt w:val="decimal"/>
      <w:lvlText w:val=""/>
      <w:lvlJc w:val="left"/>
    </w:lvl>
    <w:lvl w:ilvl="5" w:tplc="41560178">
      <w:numFmt w:val="decimal"/>
      <w:lvlText w:val=""/>
      <w:lvlJc w:val="left"/>
    </w:lvl>
    <w:lvl w:ilvl="6" w:tplc="BB703F22">
      <w:numFmt w:val="decimal"/>
      <w:lvlText w:val=""/>
      <w:lvlJc w:val="left"/>
    </w:lvl>
    <w:lvl w:ilvl="7" w:tplc="6B96C258">
      <w:numFmt w:val="decimal"/>
      <w:lvlText w:val=""/>
      <w:lvlJc w:val="left"/>
    </w:lvl>
    <w:lvl w:ilvl="8" w:tplc="63A2C764">
      <w:numFmt w:val="decimal"/>
      <w:lvlText w:val=""/>
      <w:lvlJc w:val="left"/>
    </w:lvl>
  </w:abstractNum>
  <w:abstractNum w:abstractNumId="5" w15:restartNumberingAfterBreak="0">
    <w:nsid w:val="610A1829"/>
    <w:multiLevelType w:val="hybridMultilevel"/>
    <w:tmpl w:val="16B810A4"/>
    <w:lvl w:ilvl="0" w:tplc="DD709666">
      <w:start w:val="1"/>
      <w:numFmt w:val="bullet"/>
      <w:lvlText w:val="•"/>
      <w:lvlJc w:val="left"/>
      <w:pPr>
        <w:ind w:left="720" w:hanging="360"/>
      </w:pPr>
    </w:lvl>
    <w:lvl w:ilvl="1" w:tplc="564E55C0">
      <w:numFmt w:val="decimal"/>
      <w:lvlText w:val=""/>
      <w:lvlJc w:val="left"/>
    </w:lvl>
    <w:lvl w:ilvl="2" w:tplc="1054A416">
      <w:numFmt w:val="decimal"/>
      <w:lvlText w:val=""/>
      <w:lvlJc w:val="left"/>
    </w:lvl>
    <w:lvl w:ilvl="3" w:tplc="6B609FB4">
      <w:numFmt w:val="decimal"/>
      <w:lvlText w:val=""/>
      <w:lvlJc w:val="left"/>
    </w:lvl>
    <w:lvl w:ilvl="4" w:tplc="2C5C0EB2">
      <w:numFmt w:val="decimal"/>
      <w:lvlText w:val=""/>
      <w:lvlJc w:val="left"/>
    </w:lvl>
    <w:lvl w:ilvl="5" w:tplc="1DEAFB0A">
      <w:numFmt w:val="decimal"/>
      <w:lvlText w:val=""/>
      <w:lvlJc w:val="left"/>
    </w:lvl>
    <w:lvl w:ilvl="6" w:tplc="347843B8">
      <w:numFmt w:val="decimal"/>
      <w:lvlText w:val=""/>
      <w:lvlJc w:val="left"/>
    </w:lvl>
    <w:lvl w:ilvl="7" w:tplc="3876879A">
      <w:numFmt w:val="decimal"/>
      <w:lvlText w:val=""/>
      <w:lvlJc w:val="left"/>
    </w:lvl>
    <w:lvl w:ilvl="8" w:tplc="AC2A3494">
      <w:numFmt w:val="decimal"/>
      <w:lvlText w:val=""/>
      <w:lvlJc w:val="left"/>
    </w:lvl>
  </w:abstractNum>
  <w:abstractNum w:abstractNumId="6" w15:restartNumberingAfterBreak="0">
    <w:nsid w:val="708A302C"/>
    <w:multiLevelType w:val="hybridMultilevel"/>
    <w:tmpl w:val="54549948"/>
    <w:lvl w:ilvl="0" w:tplc="CD5E07DA">
      <w:start w:val="1"/>
      <w:numFmt w:val="bullet"/>
      <w:lvlText w:val="●"/>
      <w:lvlJc w:val="left"/>
      <w:pPr>
        <w:ind w:left="720" w:hanging="360"/>
      </w:pPr>
    </w:lvl>
    <w:lvl w:ilvl="1" w:tplc="9D7C2C14">
      <w:start w:val="1"/>
      <w:numFmt w:val="bullet"/>
      <w:lvlText w:val="○"/>
      <w:lvlJc w:val="left"/>
      <w:pPr>
        <w:ind w:left="1440" w:hanging="360"/>
      </w:pPr>
    </w:lvl>
    <w:lvl w:ilvl="2" w:tplc="8912FF26">
      <w:start w:val="1"/>
      <w:numFmt w:val="bullet"/>
      <w:lvlText w:val="■"/>
      <w:lvlJc w:val="left"/>
      <w:pPr>
        <w:ind w:left="2160" w:hanging="360"/>
      </w:pPr>
    </w:lvl>
    <w:lvl w:ilvl="3" w:tplc="1B329AE0">
      <w:start w:val="1"/>
      <w:numFmt w:val="bullet"/>
      <w:lvlText w:val="●"/>
      <w:lvlJc w:val="left"/>
      <w:pPr>
        <w:ind w:left="2880" w:hanging="360"/>
      </w:pPr>
    </w:lvl>
    <w:lvl w:ilvl="4" w:tplc="30523B30">
      <w:start w:val="1"/>
      <w:numFmt w:val="bullet"/>
      <w:lvlText w:val="○"/>
      <w:lvlJc w:val="left"/>
      <w:pPr>
        <w:ind w:left="3600" w:hanging="360"/>
      </w:pPr>
    </w:lvl>
    <w:lvl w:ilvl="5" w:tplc="0C7C745A">
      <w:start w:val="1"/>
      <w:numFmt w:val="bullet"/>
      <w:lvlText w:val="■"/>
      <w:lvlJc w:val="left"/>
      <w:pPr>
        <w:ind w:left="4320" w:hanging="360"/>
      </w:pPr>
    </w:lvl>
    <w:lvl w:ilvl="6" w:tplc="36F497AE">
      <w:start w:val="1"/>
      <w:numFmt w:val="bullet"/>
      <w:lvlText w:val="●"/>
      <w:lvlJc w:val="left"/>
      <w:pPr>
        <w:ind w:left="5040" w:hanging="360"/>
      </w:pPr>
    </w:lvl>
    <w:lvl w:ilvl="7" w:tplc="7438EA9E">
      <w:start w:val="1"/>
      <w:numFmt w:val="bullet"/>
      <w:lvlText w:val="●"/>
      <w:lvlJc w:val="left"/>
      <w:pPr>
        <w:ind w:left="5760" w:hanging="360"/>
      </w:pPr>
    </w:lvl>
    <w:lvl w:ilvl="8" w:tplc="334A2740">
      <w:start w:val="1"/>
      <w:numFmt w:val="bullet"/>
      <w:lvlText w:val="●"/>
      <w:lvlJc w:val="left"/>
      <w:pPr>
        <w:ind w:left="6480" w:hanging="360"/>
      </w:pPr>
    </w:lvl>
  </w:abstractNum>
  <w:num w:numId="1" w16cid:durableId="170991556">
    <w:abstractNumId w:val="6"/>
    <w:lvlOverride w:ilvl="0">
      <w:startOverride w:val="1"/>
    </w:lvlOverride>
  </w:num>
  <w:num w:numId="2" w16cid:durableId="2086493049">
    <w:abstractNumId w:val="0"/>
    <w:lvlOverride w:ilvl="0">
      <w:startOverride w:val="1"/>
    </w:lvlOverride>
  </w:num>
  <w:num w:numId="3" w16cid:durableId="81252451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648"/>
    <w:rsid w:val="0013401A"/>
    <w:rsid w:val="003F44C2"/>
    <w:rsid w:val="004C0297"/>
    <w:rsid w:val="00902747"/>
    <w:rsid w:val="00DE532E"/>
    <w:rsid w:val="00E13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EA733"/>
  <w15:docId w15:val="{D6C79E43-476B-44DA-B563-EEAB48A67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532E"/>
    <w:pPr>
      <w:tabs>
        <w:tab w:val="center" w:pos="4680"/>
        <w:tab w:val="right" w:pos="9360"/>
      </w:tabs>
    </w:pPr>
  </w:style>
  <w:style w:type="character" w:customStyle="1" w:styleId="HeaderChar">
    <w:name w:val="Header Char"/>
    <w:basedOn w:val="DefaultParagraphFont"/>
    <w:link w:val="Header"/>
    <w:uiPriority w:val="99"/>
    <w:rsid w:val="00DE532E"/>
  </w:style>
  <w:style w:type="paragraph" w:styleId="Footer">
    <w:name w:val="footer"/>
    <w:basedOn w:val="Normal"/>
    <w:link w:val="FooterChar"/>
    <w:uiPriority w:val="99"/>
    <w:unhideWhenUsed/>
    <w:rsid w:val="00DE532E"/>
    <w:pPr>
      <w:tabs>
        <w:tab w:val="center" w:pos="4680"/>
        <w:tab w:val="right" w:pos="9360"/>
      </w:tabs>
    </w:pPr>
  </w:style>
  <w:style w:type="character" w:customStyle="1" w:styleId="FooterChar">
    <w:name w:val="Footer Char"/>
    <w:basedOn w:val="DefaultParagraphFont"/>
    <w:link w:val="Footer"/>
    <w:uiPriority w:val="99"/>
    <w:rsid w:val="00DE53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1226</Words>
  <Characters>6992</Characters>
  <Application>Microsoft Office Word</Application>
  <DocSecurity>0</DocSecurity>
  <Lines>58</Lines>
  <Paragraphs>16</Paragraphs>
  <ScaleCrop>false</ScaleCrop>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NADIR ABDULHADI</cp:lastModifiedBy>
  <cp:revision>4</cp:revision>
  <dcterms:created xsi:type="dcterms:W3CDTF">2026-09-30T14:36:00Z</dcterms:created>
  <dcterms:modified xsi:type="dcterms:W3CDTF">2026-09-30T14:39:00Z</dcterms:modified>
</cp:coreProperties>
</file>