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5C41" w14:textId="77777777" w:rsidR="00EE2DCB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PORT HARCOURT MULTI-SERVICE ASSESSMENT</w:t>
      </w:r>
    </w:p>
    <w:p w14:paraId="609000FA" w14:textId="77777777" w:rsidR="00EE2DCB" w:rsidRDefault="00000000">
      <w:pPr>
        <w:spacing w:after="60"/>
        <w:jc w:val="center"/>
      </w:pPr>
      <w:r>
        <w:rPr>
          <w:color w:val="404040"/>
          <w:sz w:val="24"/>
          <w:szCs w:val="24"/>
        </w:rPr>
        <w:t>Food Delivery • Package/Dispatch • Shared Rides</w:t>
      </w:r>
    </w:p>
    <w:p w14:paraId="0F826F15" w14:textId="01D95DE5" w:rsidR="00EE2DCB" w:rsidRDefault="00000000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Addendum to the main Ride-Hailing Assessment</w:t>
      </w:r>
    </w:p>
    <w:p w14:paraId="19EC4090" w14:textId="77777777" w:rsidR="00EE2DCB" w:rsidRDefault="00000000" w:rsidP="00F8138F">
      <w:pPr>
        <w:pStyle w:val="Heading1"/>
        <w:jc w:val="both"/>
      </w:pPr>
      <w:r>
        <w:t>1. Executive Summary</w:t>
      </w:r>
    </w:p>
    <w:p w14:paraId="1775962D" w14:textId="77777777" w:rsidR="00EE2DCB" w:rsidRDefault="00000000" w:rsidP="00F8138F">
      <w:pPr>
        <w:spacing w:after="160"/>
        <w:jc w:val="both"/>
      </w:pPr>
      <w:r>
        <w:t>The original analysis focused on private ride-hailing. This addendum examines three additional services for Port Harcourt: food delivery, package/same-day dispatch, and shared rides/carpooling.</w:t>
      </w:r>
    </w:p>
    <w:p w14:paraId="150F093A" w14:textId="77777777" w:rsidR="00EE2DCB" w:rsidRDefault="00000000" w:rsidP="00F8138F">
      <w:pPr>
        <w:spacing w:after="160"/>
        <w:jc w:val="both"/>
      </w:pPr>
      <w:r>
        <w:rPr>
          <w:b/>
          <w:bCs/>
        </w:rPr>
        <w:t xml:space="preserve">Clear recommendation: </w:t>
      </w:r>
      <w:r>
        <w:t>Food delivery and package/dispatch are worth serious consideration as second verticals, especially if the same driver/rider pool can do both rides and deliveries. Shared rides are lower priority and should not be part of the initial launch.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90"/>
        <w:gridCol w:w="1890"/>
        <w:gridCol w:w="3780"/>
      </w:tblGrid>
      <w:tr w:rsidR="00EE2DCB" w14:paraId="482668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B77B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D979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Maturity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F775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3120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Key Reason</w:t>
            </w:r>
          </w:p>
        </w:tc>
      </w:tr>
      <w:tr w:rsidR="00EE2DCB" w14:paraId="4BC48EC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C21B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Private Ride-Hailing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43D9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C4F4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1 – Highest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BEC6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Core product; already </w:t>
            </w:r>
            <w:proofErr w:type="spellStart"/>
            <w:r>
              <w:rPr>
                <w:color w:val="000000"/>
                <w:sz w:val="20"/>
                <w:szCs w:val="20"/>
              </w:rPr>
              <w:t>analysed</w:t>
            </w:r>
            <w:proofErr w:type="spellEnd"/>
          </w:p>
        </w:tc>
      </w:tr>
      <w:tr w:rsidR="00EE2DCB" w14:paraId="2DD67A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D111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Package / Dispatch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472D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668F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2 – High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544A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Oil/gas + e-commerce demand; pairs with drivers</w:t>
            </w:r>
          </w:p>
        </w:tc>
      </w:tr>
      <w:tr w:rsidR="00EE2DCB" w14:paraId="7E2C349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C4D1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Food Delivery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343B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Medium-Growing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9F04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3 – High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1F4A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Growing; can share courier pool</w:t>
            </w:r>
          </w:p>
        </w:tc>
      </w:tr>
      <w:tr w:rsidR="00EE2DCB" w14:paraId="301D42C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9055" w14:textId="77777777" w:rsidR="00EE2DCB" w:rsidRDefault="00000000" w:rsidP="00F8138F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Shared Rides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B4F7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4864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4 – Later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EF68" w14:textId="77777777" w:rsidR="00EE2DCB" w:rsidRDefault="00000000" w:rsidP="00F8138F">
            <w:pPr>
              <w:jc w:val="both"/>
            </w:pPr>
            <w:r>
              <w:rPr>
                <w:color w:val="000000"/>
                <w:sz w:val="20"/>
                <w:szCs w:val="20"/>
              </w:rPr>
              <w:t>Immature market; risk to driver earnings</w:t>
            </w:r>
          </w:p>
        </w:tc>
      </w:tr>
    </w:tbl>
    <w:p w14:paraId="6D975F2C" w14:textId="77777777" w:rsidR="00EE2DCB" w:rsidRDefault="00000000" w:rsidP="00F8138F">
      <w:pPr>
        <w:pStyle w:val="Heading1"/>
        <w:jc w:val="both"/>
      </w:pPr>
      <w:r>
        <w:t>2. Food Delivery</w:t>
      </w:r>
    </w:p>
    <w:p w14:paraId="632B127E" w14:textId="77777777" w:rsidR="00EE2DCB" w:rsidRDefault="00000000" w:rsidP="00F8138F">
      <w:pPr>
        <w:pStyle w:val="Heading2"/>
        <w:jc w:val="both"/>
      </w:pPr>
      <w:r>
        <w:t>Competition</w:t>
      </w:r>
    </w:p>
    <w:p w14:paraId="06716131" w14:textId="77777777" w:rsidR="00EE2DCB" w:rsidRDefault="00000000" w:rsidP="00F8138F">
      <w:pPr>
        <w:spacing w:after="120"/>
        <w:jc w:val="both"/>
      </w:pPr>
      <w:proofErr w:type="spellStart"/>
      <w:r>
        <w:t>Chowdeck</w:t>
      </w:r>
      <w:proofErr w:type="spellEnd"/>
      <w:r>
        <w:t xml:space="preserve"> is the leading food-delivery platform in Port Harcourt and the strongest national player after Bolt Food and Jumia Food scaled back or exited. </w:t>
      </w:r>
      <w:proofErr w:type="spellStart"/>
      <w:r>
        <w:t>Glovo</w:t>
      </w:r>
      <w:proofErr w:type="spellEnd"/>
      <w:r>
        <w:t xml:space="preserve"> is also present (food + groceries). Local players include </w:t>
      </w:r>
      <w:proofErr w:type="spellStart"/>
      <w:r>
        <w:t>Jollivry</w:t>
      </w:r>
      <w:proofErr w:type="spellEnd"/>
      <w:r>
        <w:t xml:space="preserve"> (strong regional focus), Chao (UNIPORT campus), and smaller hyperlocal or WhatsApp-based operators.</w:t>
      </w:r>
    </w:p>
    <w:p w14:paraId="46AA3A1D" w14:textId="77777777" w:rsidR="00EE2DCB" w:rsidRDefault="00000000" w:rsidP="00F8138F">
      <w:pPr>
        <w:pStyle w:val="Heading2"/>
        <w:jc w:val="both"/>
      </w:pPr>
      <w:r>
        <w:t>Demand</w:t>
      </w:r>
    </w:p>
    <w:p w14:paraId="0B8455E9" w14:textId="77777777" w:rsidR="00EE2DCB" w:rsidRDefault="00000000" w:rsidP="00F8138F">
      <w:pPr>
        <w:spacing w:after="120"/>
        <w:jc w:val="both"/>
      </w:pPr>
      <w:r>
        <w:t>Demand is driven by professionals in GRA and Trans-Amadi, UNIPORT students, estate residents, and convenience during rain. National food-delivery market continues to grow; Port Harcourt is a meaningful secondary city.</w:t>
      </w:r>
    </w:p>
    <w:p w14:paraId="6EE08A48" w14:textId="77777777" w:rsidR="00EE2DCB" w:rsidRDefault="00000000" w:rsidP="00F8138F">
      <w:pPr>
        <w:pStyle w:val="Heading2"/>
        <w:jc w:val="both"/>
      </w:pPr>
      <w:r>
        <w:t>Opportunity for Keyen</w:t>
      </w:r>
    </w:p>
    <w:p w14:paraId="3725E6AA" w14:textId="77777777" w:rsidR="00EE2DCB" w:rsidRDefault="00000000" w:rsidP="00F8138F">
      <w:pPr>
        <w:pStyle w:val="ListParagraph"/>
        <w:numPr>
          <w:ilvl w:val="0"/>
          <w:numId w:val="2"/>
        </w:numPr>
        <w:jc w:val="both"/>
      </w:pPr>
      <w:r>
        <w:t>Better courier economics than pure high-percentage models</w:t>
      </w:r>
    </w:p>
    <w:p w14:paraId="440EE0FF" w14:textId="77777777" w:rsidR="00EE2DCB" w:rsidRDefault="00000000" w:rsidP="00F8138F">
      <w:pPr>
        <w:pStyle w:val="ListParagraph"/>
        <w:numPr>
          <w:ilvl w:val="0"/>
          <w:numId w:val="2"/>
        </w:numPr>
        <w:jc w:val="both"/>
      </w:pPr>
      <w:r>
        <w:t>Deeper local restaurant partnerships</w:t>
      </w:r>
    </w:p>
    <w:p w14:paraId="09DA7D4B" w14:textId="77777777" w:rsidR="00EE2DCB" w:rsidRDefault="00000000" w:rsidP="00F8138F">
      <w:pPr>
        <w:pStyle w:val="ListParagraph"/>
        <w:numPr>
          <w:ilvl w:val="0"/>
          <w:numId w:val="2"/>
        </w:numPr>
        <w:jc w:val="both"/>
      </w:pPr>
      <w:r>
        <w:t xml:space="preserve">Same riders who do mobility trips can also </w:t>
      </w:r>
      <w:proofErr w:type="gramStart"/>
      <w:r>
        <w:t>do</w:t>
      </w:r>
      <w:proofErr w:type="gramEnd"/>
      <w:r>
        <w:t xml:space="preserve"> food deliveries (higher daily earnings)</w:t>
      </w:r>
    </w:p>
    <w:p w14:paraId="1E0553E1" w14:textId="77777777" w:rsidR="00EE2DCB" w:rsidRDefault="00000000" w:rsidP="00F8138F">
      <w:pPr>
        <w:pStyle w:val="ListParagraph"/>
        <w:numPr>
          <w:ilvl w:val="0"/>
          <w:numId w:val="2"/>
        </w:numPr>
        <w:spacing w:after="200"/>
        <w:jc w:val="both"/>
      </w:pPr>
      <w:r>
        <w:t>Corporate and estate accounts</w:t>
      </w:r>
    </w:p>
    <w:p w14:paraId="4D6FA9F7" w14:textId="77777777" w:rsidR="00EE2DCB" w:rsidRDefault="00000000" w:rsidP="00F8138F">
      <w:pPr>
        <w:pStyle w:val="Heading1"/>
        <w:jc w:val="both"/>
      </w:pPr>
      <w:r>
        <w:t>3. Package / Same-Day Dispatch</w:t>
      </w:r>
    </w:p>
    <w:p w14:paraId="4FD850A8" w14:textId="77777777" w:rsidR="00EE2DCB" w:rsidRDefault="00000000" w:rsidP="00F8138F">
      <w:pPr>
        <w:pStyle w:val="Heading2"/>
        <w:jc w:val="both"/>
      </w:pPr>
      <w:r>
        <w:t>Competition</w:t>
      </w:r>
    </w:p>
    <w:p w14:paraId="389B1466" w14:textId="77777777" w:rsidR="00EE2DCB" w:rsidRDefault="00000000" w:rsidP="00F8138F">
      <w:pPr>
        <w:spacing w:after="120"/>
        <w:jc w:val="both"/>
      </w:pPr>
      <w:r>
        <w:t xml:space="preserve">Fragmented but active. Strong local players (Kora Kourier, Peng Logistics, </w:t>
      </w:r>
      <w:proofErr w:type="spellStart"/>
      <w:r>
        <w:t>SpeedMax</w:t>
      </w:r>
      <w:proofErr w:type="spellEnd"/>
      <w:r>
        <w:t>) compete with national operators (GIG Logistics has multiple PH branches, Kwik, Travo, Bolt Send). Informal WhatsApp dispatch riders remain common but suffer from trust issues (ghost riders).</w:t>
      </w:r>
    </w:p>
    <w:p w14:paraId="306A5EF4" w14:textId="77777777" w:rsidR="00EE2DCB" w:rsidRDefault="00000000" w:rsidP="00F8138F">
      <w:pPr>
        <w:pStyle w:val="Heading2"/>
        <w:jc w:val="both"/>
      </w:pPr>
      <w:r>
        <w:lastRenderedPageBreak/>
        <w:t>Demand</w:t>
      </w:r>
    </w:p>
    <w:p w14:paraId="7BC97E92" w14:textId="77777777" w:rsidR="00EE2DCB" w:rsidRDefault="00000000" w:rsidP="00F8138F">
      <w:pPr>
        <w:spacing w:after="120"/>
        <w:jc w:val="both"/>
      </w:pPr>
      <w:r>
        <w:t>Oil &amp; gas companies, service firms, e-commerce/social sellers, SMEs (documents), personal errands, and off-platform restaurant deliveries. Same-day intra-city is the high-frequency opportunity; interstate is more established.</w:t>
      </w:r>
    </w:p>
    <w:p w14:paraId="7C098F43" w14:textId="77777777" w:rsidR="00EE2DCB" w:rsidRDefault="00000000" w:rsidP="00F8138F">
      <w:pPr>
        <w:pStyle w:val="Heading2"/>
        <w:jc w:val="both"/>
      </w:pPr>
      <w:r>
        <w:t>Opportunity for Keyen</w:t>
      </w:r>
    </w:p>
    <w:p w14:paraId="15C9F0A8" w14:textId="77777777" w:rsidR="00EE2DCB" w:rsidRDefault="00000000" w:rsidP="00F8138F">
      <w:pPr>
        <w:pStyle w:val="ListParagraph"/>
        <w:numPr>
          <w:ilvl w:val="0"/>
          <w:numId w:val="3"/>
        </w:numPr>
        <w:jc w:val="both"/>
      </w:pPr>
      <w:r>
        <w:t>Trust layer (verified riders + live tracking + proof of delivery) versus informal channels</w:t>
      </w:r>
    </w:p>
    <w:p w14:paraId="7F22257C" w14:textId="77777777" w:rsidR="00EE2DCB" w:rsidRDefault="00000000" w:rsidP="00F8138F">
      <w:pPr>
        <w:pStyle w:val="ListParagraph"/>
        <w:numPr>
          <w:ilvl w:val="0"/>
          <w:numId w:val="3"/>
        </w:numPr>
        <w:jc w:val="both"/>
      </w:pPr>
      <w:r>
        <w:t xml:space="preserve">Let mobility drivers also accept delivery jobs — improves </w:t>
      </w:r>
      <w:proofErr w:type="spellStart"/>
      <w:r>
        <w:t>utilisation</w:t>
      </w:r>
      <w:proofErr w:type="spellEnd"/>
      <w:r>
        <w:t xml:space="preserve"> and earnings</w:t>
      </w:r>
    </w:p>
    <w:p w14:paraId="5C04F8B0" w14:textId="77777777" w:rsidR="00EE2DCB" w:rsidRDefault="00000000" w:rsidP="00F8138F">
      <w:pPr>
        <w:pStyle w:val="ListParagraph"/>
        <w:numPr>
          <w:ilvl w:val="0"/>
          <w:numId w:val="3"/>
        </w:numPr>
        <w:jc w:val="both"/>
      </w:pPr>
      <w:r>
        <w:t>Transparent pricing and ratings</w:t>
      </w:r>
    </w:p>
    <w:p w14:paraId="45C54E7B" w14:textId="77777777" w:rsidR="00EE2DCB" w:rsidRDefault="00000000" w:rsidP="00F8138F">
      <w:pPr>
        <w:pStyle w:val="ListParagraph"/>
        <w:numPr>
          <w:ilvl w:val="0"/>
          <w:numId w:val="3"/>
        </w:numPr>
        <w:spacing w:after="200"/>
        <w:jc w:val="both"/>
      </w:pPr>
      <w:r>
        <w:t>Corporate retainers in the oil/service and estate segments</w:t>
      </w:r>
    </w:p>
    <w:p w14:paraId="3D6096A8" w14:textId="77777777" w:rsidR="00EE2DCB" w:rsidRDefault="00000000" w:rsidP="00F8138F">
      <w:pPr>
        <w:pStyle w:val="Heading1"/>
        <w:jc w:val="both"/>
      </w:pPr>
      <w:r>
        <w:t>4. Shared Rides / Carpooling</w:t>
      </w:r>
    </w:p>
    <w:p w14:paraId="3D8079EE" w14:textId="77777777" w:rsidR="00EE2DCB" w:rsidRDefault="00000000" w:rsidP="00F8138F">
      <w:pPr>
        <w:spacing w:after="160"/>
        <w:jc w:val="both"/>
      </w:pPr>
      <w:r>
        <w:t xml:space="preserve">Formal app-based shared-ride products have limited scale in Port Harcourt. Bolt and </w:t>
      </w:r>
      <w:proofErr w:type="spellStart"/>
      <w:r>
        <w:t>inDrive</w:t>
      </w:r>
      <w:proofErr w:type="spellEnd"/>
      <w:r>
        <w:t xml:space="preserve"> focus on private rides. Informal </w:t>
      </w:r>
      <w:proofErr w:type="gramStart"/>
      <w:r>
        <w:t>shared</w:t>
      </w:r>
      <w:proofErr w:type="gramEnd"/>
      <w:r>
        <w:t xml:space="preserve"> arrangements exist but are not a structured market. Recommendation: do not </w:t>
      </w:r>
      <w:proofErr w:type="spellStart"/>
      <w:proofErr w:type="gramStart"/>
      <w:r>
        <w:t>prioritise</w:t>
      </w:r>
      <w:proofErr w:type="spellEnd"/>
      <w:r>
        <w:t xml:space="preserve"> for</w:t>
      </w:r>
      <w:proofErr w:type="gramEnd"/>
      <w:r>
        <w:t xml:space="preserve"> initial launch. </w:t>
      </w:r>
      <w:proofErr w:type="gramStart"/>
      <w:r>
        <w:t>Revisit</w:t>
      </w:r>
      <w:proofErr w:type="gramEnd"/>
      <w:r>
        <w:t xml:space="preserve"> only after private rides and delivery verticals </w:t>
      </w:r>
      <w:proofErr w:type="gramStart"/>
      <w:r>
        <w:t>are</w:t>
      </w:r>
      <w:proofErr w:type="gramEnd"/>
      <w:r>
        <w:t xml:space="preserve"> stable.</w:t>
      </w:r>
    </w:p>
    <w:p w14:paraId="04D28392" w14:textId="77777777" w:rsidR="00EE2DCB" w:rsidRDefault="00000000" w:rsidP="00F8138F">
      <w:pPr>
        <w:pStyle w:val="Heading1"/>
        <w:jc w:val="both"/>
      </w:pPr>
      <w:r>
        <w:t>5. Strategic Recommendation</w:t>
      </w:r>
    </w:p>
    <w:p w14:paraId="1B0E1EEE" w14:textId="77777777" w:rsidR="00EE2DCB" w:rsidRDefault="00000000" w:rsidP="00F8138F">
      <w:pPr>
        <w:spacing w:after="120"/>
        <w:jc w:val="both"/>
      </w:pPr>
      <w:r>
        <w:rPr>
          <w:b/>
          <w:bCs/>
        </w:rPr>
        <w:t>Best path for Keyen in Port Harcourt:</w:t>
      </w:r>
    </w:p>
    <w:p w14:paraId="07C54E5B" w14:textId="77777777" w:rsidR="00EE2DCB" w:rsidRDefault="00000000" w:rsidP="00F8138F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 xml:space="preserve">Core: </w:t>
      </w:r>
      <w:r>
        <w:t>Private ride-hailing (as already recommended in the main report)</w:t>
      </w:r>
    </w:p>
    <w:p w14:paraId="375BADE2" w14:textId="77777777" w:rsidR="00EE2DCB" w:rsidRDefault="00000000" w:rsidP="00F8138F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 xml:space="preserve">Second vertical: </w:t>
      </w:r>
      <w:r>
        <w:t>Package/same-day dispatch and/or food delivery, designed so the same driver/rider pool can do both mobility and delivery jobs</w:t>
      </w:r>
    </w:p>
    <w:p w14:paraId="532A931D" w14:textId="77777777" w:rsidR="00EE2DCB" w:rsidRDefault="00000000" w:rsidP="00F8138F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 xml:space="preserve">Later: </w:t>
      </w:r>
      <w:r>
        <w:t>Shared rides only as a controlled experiment after density and driver retention are proven</w:t>
      </w:r>
    </w:p>
    <w:p w14:paraId="235A9B79" w14:textId="77777777" w:rsidR="00EE2DCB" w:rsidRDefault="00000000" w:rsidP="00F8138F">
      <w:pPr>
        <w:spacing w:before="160" w:after="200"/>
        <w:jc w:val="both"/>
      </w:pPr>
      <w:r>
        <w:t xml:space="preserve">This multi-service approach improves driver daily earnings and platform </w:t>
      </w:r>
      <w:proofErr w:type="spellStart"/>
      <w:r>
        <w:t>utilisation</w:t>
      </w:r>
      <w:proofErr w:type="spellEnd"/>
      <w:r>
        <w:t xml:space="preserve"> while leveraging the same local operations, tech, and regulatory engagement already required for ride-hailing.</w:t>
      </w:r>
    </w:p>
    <w:p w14:paraId="660B45EC" w14:textId="77777777" w:rsidR="00EE2DCB" w:rsidRDefault="00000000" w:rsidP="00F8138F">
      <w:pPr>
        <w:pStyle w:val="Heading1"/>
        <w:jc w:val="both"/>
      </w:pPr>
      <w:r>
        <w:t>6. Final Clear Assessment</w:t>
      </w:r>
    </w:p>
    <w:p w14:paraId="59866E30" w14:textId="77777777" w:rsidR="00EE2DCB" w:rsidRDefault="00000000" w:rsidP="00F8138F">
      <w:pPr>
        <w:spacing w:after="160"/>
        <w:jc w:val="both"/>
      </w:pPr>
      <w:r>
        <w:rPr>
          <w:b/>
          <w:bCs/>
        </w:rPr>
        <w:t>Delivery services (food and package/dispatch) are worth seriously considering as launch verticals in Port Harcourt alongside private ride-hailing.</w:t>
      </w:r>
    </w:p>
    <w:p w14:paraId="153E0028" w14:textId="77777777" w:rsidR="00EE2DCB" w:rsidRDefault="00000000" w:rsidP="00F8138F">
      <w:pPr>
        <w:spacing w:after="160"/>
        <w:jc w:val="both"/>
      </w:pPr>
      <w:r>
        <w:t>Shared rides are not. The evidence supports a multi-service pilot that starts with private rides and adds delivery capacity quickly, using one pool of drivers/riders. This is the highest-leverage way to improve unit economics and driver attractiveness in a market that is real but smaller and more concentrated than Lagos.</w:t>
      </w:r>
    </w:p>
    <w:p w14:paraId="0698B469" w14:textId="77777777" w:rsidR="00EE2DCB" w:rsidRDefault="00000000" w:rsidP="00F8138F">
      <w:pPr>
        <w:jc w:val="both"/>
      </w:pPr>
      <w:r>
        <w:rPr>
          <w:i/>
          <w:iCs/>
          <w:color w:val="666666"/>
          <w:sz w:val="18"/>
          <w:szCs w:val="18"/>
        </w:rPr>
        <w:t>Supporting data and tables are in the updated Excel workbook (sheets 08–11). This addendum should be read together with the main Port Harcourt Launch Assessment Report.</w:t>
      </w:r>
    </w:p>
    <w:sectPr w:rsidR="00EE2DC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EDD3" w14:textId="77777777" w:rsidR="0097755A" w:rsidRDefault="0097755A">
      <w:r>
        <w:separator/>
      </w:r>
    </w:p>
  </w:endnote>
  <w:endnote w:type="continuationSeparator" w:id="0">
    <w:p w14:paraId="76554780" w14:textId="77777777" w:rsidR="0097755A" w:rsidRDefault="0097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9538" w14:textId="77777777" w:rsidR="00EE2DCB" w:rsidRDefault="00000000">
    <w:pPr>
      <w:jc w:val="center"/>
    </w:pPr>
    <w:r>
      <w:rPr>
        <w:color w:val="666666"/>
        <w:sz w:val="16"/>
        <w:szCs w:val="16"/>
      </w:rPr>
      <w:t xml:space="preserve">Addendum to main PH </w:t>
    </w:r>
    <w:proofErr w:type="gramStart"/>
    <w:r>
      <w:rPr>
        <w:color w:val="666666"/>
        <w:sz w:val="16"/>
        <w:szCs w:val="16"/>
      </w:rPr>
      <w:t>assessment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039D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5312" w14:textId="77777777" w:rsidR="0097755A" w:rsidRDefault="0097755A">
      <w:r>
        <w:separator/>
      </w:r>
    </w:p>
  </w:footnote>
  <w:footnote w:type="continuationSeparator" w:id="0">
    <w:p w14:paraId="239C9BF7" w14:textId="77777777" w:rsidR="0097755A" w:rsidRDefault="00977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96C2" w14:textId="77777777" w:rsidR="00EE2DCB" w:rsidRDefault="00000000">
    <w:pPr>
      <w:pBdr>
        <w:bottom w:val="single" w:sz="6" w:space="4" w:color="1F4E79"/>
      </w:pBdr>
    </w:pPr>
    <w:proofErr w:type="gramStart"/>
    <w:r>
      <w:rPr>
        <w:color w:val="666666"/>
        <w:sz w:val="18"/>
        <w:szCs w:val="18"/>
      </w:rPr>
      <w:t>Keyen  |</w:t>
    </w:r>
    <w:proofErr w:type="gramEnd"/>
    <w:r>
      <w:rPr>
        <w:color w:val="666666"/>
        <w:sz w:val="18"/>
        <w:szCs w:val="18"/>
      </w:rPr>
      <w:t xml:space="preserve">  Port Harcourt Multi-Service Assessment (Delivery + Shared Rides)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E6B4D"/>
    <w:multiLevelType w:val="hybridMultilevel"/>
    <w:tmpl w:val="4FCCA44C"/>
    <w:lvl w:ilvl="0" w:tplc="A282FC8E">
      <w:start w:val="1"/>
      <w:numFmt w:val="bullet"/>
      <w:lvlText w:val="•"/>
      <w:lvlJc w:val="left"/>
      <w:pPr>
        <w:ind w:left="720" w:hanging="360"/>
      </w:pPr>
    </w:lvl>
    <w:lvl w:ilvl="1" w:tplc="816A5AD2">
      <w:numFmt w:val="decimal"/>
      <w:lvlText w:val=""/>
      <w:lvlJc w:val="left"/>
    </w:lvl>
    <w:lvl w:ilvl="2" w:tplc="C6A2BB00">
      <w:numFmt w:val="decimal"/>
      <w:lvlText w:val=""/>
      <w:lvlJc w:val="left"/>
    </w:lvl>
    <w:lvl w:ilvl="3" w:tplc="8B9ED63C">
      <w:numFmt w:val="decimal"/>
      <w:lvlText w:val=""/>
      <w:lvlJc w:val="left"/>
    </w:lvl>
    <w:lvl w:ilvl="4" w:tplc="34EEFB0C">
      <w:numFmt w:val="decimal"/>
      <w:lvlText w:val=""/>
      <w:lvlJc w:val="left"/>
    </w:lvl>
    <w:lvl w:ilvl="5" w:tplc="A274BD64">
      <w:numFmt w:val="decimal"/>
      <w:lvlText w:val=""/>
      <w:lvlJc w:val="left"/>
    </w:lvl>
    <w:lvl w:ilvl="6" w:tplc="4CC827E4">
      <w:numFmt w:val="decimal"/>
      <w:lvlText w:val=""/>
      <w:lvlJc w:val="left"/>
    </w:lvl>
    <w:lvl w:ilvl="7" w:tplc="997CAA62">
      <w:numFmt w:val="decimal"/>
      <w:lvlText w:val=""/>
      <w:lvlJc w:val="left"/>
    </w:lvl>
    <w:lvl w:ilvl="8" w:tplc="04FEC290">
      <w:numFmt w:val="decimal"/>
      <w:lvlText w:val=""/>
      <w:lvlJc w:val="left"/>
    </w:lvl>
  </w:abstractNum>
  <w:abstractNum w:abstractNumId="1" w15:restartNumberingAfterBreak="0">
    <w:nsid w:val="50690F2F"/>
    <w:multiLevelType w:val="hybridMultilevel"/>
    <w:tmpl w:val="421EFB14"/>
    <w:lvl w:ilvl="0" w:tplc="ECE81A08">
      <w:start w:val="1"/>
      <w:numFmt w:val="decimal"/>
      <w:lvlText w:val="%1."/>
      <w:lvlJc w:val="left"/>
      <w:pPr>
        <w:ind w:left="720" w:hanging="360"/>
      </w:pPr>
    </w:lvl>
    <w:lvl w:ilvl="1" w:tplc="F03A68EA">
      <w:numFmt w:val="decimal"/>
      <w:lvlText w:val=""/>
      <w:lvlJc w:val="left"/>
    </w:lvl>
    <w:lvl w:ilvl="2" w:tplc="333861AA">
      <w:numFmt w:val="decimal"/>
      <w:lvlText w:val=""/>
      <w:lvlJc w:val="left"/>
    </w:lvl>
    <w:lvl w:ilvl="3" w:tplc="1C426BAC">
      <w:numFmt w:val="decimal"/>
      <w:lvlText w:val=""/>
      <w:lvlJc w:val="left"/>
    </w:lvl>
    <w:lvl w:ilvl="4" w:tplc="20E695B2">
      <w:numFmt w:val="decimal"/>
      <w:lvlText w:val=""/>
      <w:lvlJc w:val="left"/>
    </w:lvl>
    <w:lvl w:ilvl="5" w:tplc="73E8FFB2">
      <w:numFmt w:val="decimal"/>
      <w:lvlText w:val=""/>
      <w:lvlJc w:val="left"/>
    </w:lvl>
    <w:lvl w:ilvl="6" w:tplc="FAB219F0">
      <w:numFmt w:val="decimal"/>
      <w:lvlText w:val=""/>
      <w:lvlJc w:val="left"/>
    </w:lvl>
    <w:lvl w:ilvl="7" w:tplc="5E5099DC">
      <w:numFmt w:val="decimal"/>
      <w:lvlText w:val=""/>
      <w:lvlJc w:val="left"/>
    </w:lvl>
    <w:lvl w:ilvl="8" w:tplc="10AE417C">
      <w:numFmt w:val="decimal"/>
      <w:lvlText w:val=""/>
      <w:lvlJc w:val="left"/>
    </w:lvl>
  </w:abstractNum>
  <w:abstractNum w:abstractNumId="2" w15:restartNumberingAfterBreak="0">
    <w:nsid w:val="630502DD"/>
    <w:multiLevelType w:val="hybridMultilevel"/>
    <w:tmpl w:val="ECFC10AC"/>
    <w:lvl w:ilvl="0" w:tplc="165038B0">
      <w:start w:val="1"/>
      <w:numFmt w:val="bullet"/>
      <w:lvlText w:val="•"/>
      <w:lvlJc w:val="left"/>
      <w:pPr>
        <w:ind w:left="720" w:hanging="360"/>
      </w:pPr>
    </w:lvl>
    <w:lvl w:ilvl="1" w:tplc="128A9724">
      <w:numFmt w:val="decimal"/>
      <w:lvlText w:val=""/>
      <w:lvlJc w:val="left"/>
    </w:lvl>
    <w:lvl w:ilvl="2" w:tplc="B6CEA3E6">
      <w:numFmt w:val="decimal"/>
      <w:lvlText w:val=""/>
      <w:lvlJc w:val="left"/>
    </w:lvl>
    <w:lvl w:ilvl="3" w:tplc="4F2CA1B8">
      <w:numFmt w:val="decimal"/>
      <w:lvlText w:val=""/>
      <w:lvlJc w:val="left"/>
    </w:lvl>
    <w:lvl w:ilvl="4" w:tplc="9ED274C0">
      <w:numFmt w:val="decimal"/>
      <w:lvlText w:val=""/>
      <w:lvlJc w:val="left"/>
    </w:lvl>
    <w:lvl w:ilvl="5" w:tplc="5B1CAF28">
      <w:numFmt w:val="decimal"/>
      <w:lvlText w:val=""/>
      <w:lvlJc w:val="left"/>
    </w:lvl>
    <w:lvl w:ilvl="6" w:tplc="489CD52A">
      <w:numFmt w:val="decimal"/>
      <w:lvlText w:val=""/>
      <w:lvlJc w:val="left"/>
    </w:lvl>
    <w:lvl w:ilvl="7" w:tplc="4DF2B560">
      <w:numFmt w:val="decimal"/>
      <w:lvlText w:val=""/>
      <w:lvlJc w:val="left"/>
    </w:lvl>
    <w:lvl w:ilvl="8" w:tplc="A1F85158">
      <w:numFmt w:val="decimal"/>
      <w:lvlText w:val=""/>
      <w:lvlJc w:val="left"/>
    </w:lvl>
  </w:abstractNum>
  <w:abstractNum w:abstractNumId="3" w15:restartNumberingAfterBreak="0">
    <w:nsid w:val="66BB70CF"/>
    <w:multiLevelType w:val="hybridMultilevel"/>
    <w:tmpl w:val="4AB2248C"/>
    <w:lvl w:ilvl="0" w:tplc="61C099B6">
      <w:start w:val="1"/>
      <w:numFmt w:val="bullet"/>
      <w:lvlText w:val="●"/>
      <w:lvlJc w:val="left"/>
      <w:pPr>
        <w:ind w:left="720" w:hanging="360"/>
      </w:pPr>
    </w:lvl>
    <w:lvl w:ilvl="1" w:tplc="4BFEDDA6">
      <w:start w:val="1"/>
      <w:numFmt w:val="bullet"/>
      <w:lvlText w:val="○"/>
      <w:lvlJc w:val="left"/>
      <w:pPr>
        <w:ind w:left="1440" w:hanging="360"/>
      </w:pPr>
    </w:lvl>
    <w:lvl w:ilvl="2" w:tplc="C62611C8">
      <w:start w:val="1"/>
      <w:numFmt w:val="bullet"/>
      <w:lvlText w:val="■"/>
      <w:lvlJc w:val="left"/>
      <w:pPr>
        <w:ind w:left="2160" w:hanging="360"/>
      </w:pPr>
    </w:lvl>
    <w:lvl w:ilvl="3" w:tplc="9B34A8C8">
      <w:start w:val="1"/>
      <w:numFmt w:val="bullet"/>
      <w:lvlText w:val="●"/>
      <w:lvlJc w:val="left"/>
      <w:pPr>
        <w:ind w:left="2880" w:hanging="360"/>
      </w:pPr>
    </w:lvl>
    <w:lvl w:ilvl="4" w:tplc="A4A6F396">
      <w:start w:val="1"/>
      <w:numFmt w:val="bullet"/>
      <w:lvlText w:val="○"/>
      <w:lvlJc w:val="left"/>
      <w:pPr>
        <w:ind w:left="3600" w:hanging="360"/>
      </w:pPr>
    </w:lvl>
    <w:lvl w:ilvl="5" w:tplc="6A025C5A">
      <w:start w:val="1"/>
      <w:numFmt w:val="bullet"/>
      <w:lvlText w:val="■"/>
      <w:lvlJc w:val="left"/>
      <w:pPr>
        <w:ind w:left="4320" w:hanging="360"/>
      </w:pPr>
    </w:lvl>
    <w:lvl w:ilvl="6" w:tplc="4A62DF3C">
      <w:start w:val="1"/>
      <w:numFmt w:val="bullet"/>
      <w:lvlText w:val="●"/>
      <w:lvlJc w:val="left"/>
      <w:pPr>
        <w:ind w:left="5040" w:hanging="360"/>
      </w:pPr>
    </w:lvl>
    <w:lvl w:ilvl="7" w:tplc="A0CE9752">
      <w:start w:val="1"/>
      <w:numFmt w:val="bullet"/>
      <w:lvlText w:val="●"/>
      <w:lvlJc w:val="left"/>
      <w:pPr>
        <w:ind w:left="5760" w:hanging="360"/>
      </w:pPr>
    </w:lvl>
    <w:lvl w:ilvl="8" w:tplc="B59253F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E0801B5"/>
    <w:multiLevelType w:val="hybridMultilevel"/>
    <w:tmpl w:val="7CFAEFA6"/>
    <w:lvl w:ilvl="0" w:tplc="50FA0204">
      <w:start w:val="1"/>
      <w:numFmt w:val="bullet"/>
      <w:lvlText w:val="✓"/>
      <w:lvlJc w:val="left"/>
      <w:pPr>
        <w:ind w:left="720" w:hanging="360"/>
      </w:pPr>
    </w:lvl>
    <w:lvl w:ilvl="1" w:tplc="A948C10C">
      <w:numFmt w:val="decimal"/>
      <w:lvlText w:val=""/>
      <w:lvlJc w:val="left"/>
    </w:lvl>
    <w:lvl w:ilvl="2" w:tplc="64F6BDC8">
      <w:numFmt w:val="decimal"/>
      <w:lvlText w:val=""/>
      <w:lvlJc w:val="left"/>
    </w:lvl>
    <w:lvl w:ilvl="3" w:tplc="48488144">
      <w:numFmt w:val="decimal"/>
      <w:lvlText w:val=""/>
      <w:lvlJc w:val="left"/>
    </w:lvl>
    <w:lvl w:ilvl="4" w:tplc="9830F200">
      <w:numFmt w:val="decimal"/>
      <w:lvlText w:val=""/>
      <w:lvlJc w:val="left"/>
    </w:lvl>
    <w:lvl w:ilvl="5" w:tplc="6F4C526A">
      <w:numFmt w:val="decimal"/>
      <w:lvlText w:val=""/>
      <w:lvlJc w:val="left"/>
    </w:lvl>
    <w:lvl w:ilvl="6" w:tplc="021EB3D0">
      <w:numFmt w:val="decimal"/>
      <w:lvlText w:val=""/>
      <w:lvlJc w:val="left"/>
    </w:lvl>
    <w:lvl w:ilvl="7" w:tplc="A2401A7A">
      <w:numFmt w:val="decimal"/>
      <w:lvlText w:val=""/>
      <w:lvlJc w:val="left"/>
    </w:lvl>
    <w:lvl w:ilvl="8" w:tplc="FA7E5C82">
      <w:numFmt w:val="decimal"/>
      <w:lvlText w:val=""/>
      <w:lvlJc w:val="left"/>
    </w:lvl>
  </w:abstractNum>
  <w:num w:numId="1" w16cid:durableId="613052804">
    <w:abstractNumId w:val="3"/>
    <w:lvlOverride w:ilvl="0">
      <w:startOverride w:val="1"/>
    </w:lvlOverride>
  </w:num>
  <w:num w:numId="2" w16cid:durableId="2029410841">
    <w:abstractNumId w:val="0"/>
    <w:lvlOverride w:ilvl="0">
      <w:startOverride w:val="1"/>
    </w:lvlOverride>
  </w:num>
  <w:num w:numId="3" w16cid:durableId="441073327">
    <w:abstractNumId w:val="2"/>
    <w:lvlOverride w:ilvl="0">
      <w:startOverride w:val="1"/>
    </w:lvlOverride>
  </w:num>
  <w:num w:numId="4" w16cid:durableId="1106537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DCB"/>
    <w:rsid w:val="00437431"/>
    <w:rsid w:val="006039DC"/>
    <w:rsid w:val="0097755A"/>
    <w:rsid w:val="00A45B0B"/>
    <w:rsid w:val="00CE31CA"/>
    <w:rsid w:val="00EE2DCB"/>
    <w:rsid w:val="00F8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DEE8"/>
  <w15:docId w15:val="{142C0D0A-257B-416D-A72B-BB9368D9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NADIR ABDULHADI</cp:lastModifiedBy>
  <cp:revision>4</cp:revision>
  <dcterms:created xsi:type="dcterms:W3CDTF">2026-10-04T16:30:00Z</dcterms:created>
  <dcterms:modified xsi:type="dcterms:W3CDTF">2026-10-04T16:32:00Z</dcterms:modified>
</cp:coreProperties>
</file>