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8AC9" w14:textId="77777777" w:rsidR="00834E2F" w:rsidRPr="00834E2F" w:rsidRDefault="00834E2F" w:rsidP="00834E2F">
      <w:proofErr w:type="spellStart"/>
      <w:r w:rsidRPr="00834E2F">
        <w:rPr>
          <w:b/>
          <w:bCs/>
        </w:rPr>
        <w:t>LayKon</w:t>
      </w:r>
      <w:proofErr w:type="spellEnd"/>
      <w:r w:rsidRPr="00834E2F">
        <w:rPr>
          <w:b/>
          <w:bCs/>
        </w:rPr>
        <w:t xml:space="preserve"> Designs &amp; Research Institute – Respondent Profile &amp; Insights</w:t>
      </w:r>
    </w:p>
    <w:p w14:paraId="1DBB1505" w14:textId="77777777" w:rsidR="00834E2F" w:rsidRPr="00834E2F" w:rsidRDefault="00834E2F" w:rsidP="00834E2F">
      <w:r w:rsidRPr="00834E2F">
        <w:rPr>
          <w:b/>
          <w:bCs/>
        </w:rPr>
        <w:t>Overall Respondents &amp; Salary Overview</w:t>
      </w:r>
    </w:p>
    <w:p w14:paraId="2D221126" w14:textId="77777777" w:rsidR="00834E2F" w:rsidRPr="00834E2F" w:rsidRDefault="00834E2F" w:rsidP="00834E2F">
      <w:pPr>
        <w:numPr>
          <w:ilvl w:val="0"/>
          <w:numId w:val="2"/>
        </w:numPr>
      </w:pPr>
      <w:r w:rsidRPr="00834E2F">
        <w:rPr>
          <w:b/>
          <w:bCs/>
        </w:rPr>
        <w:t>Total respondents:</w:t>
      </w:r>
      <w:r w:rsidRPr="00834E2F">
        <w:t xml:space="preserve"> 1,470</w:t>
      </w:r>
    </w:p>
    <w:p w14:paraId="0EF8985A" w14:textId="77777777" w:rsidR="00834E2F" w:rsidRPr="00834E2F" w:rsidRDefault="00834E2F" w:rsidP="00834E2F">
      <w:pPr>
        <w:numPr>
          <w:ilvl w:val="1"/>
          <w:numId w:val="2"/>
        </w:numPr>
      </w:pPr>
      <w:r w:rsidRPr="00834E2F">
        <w:rPr>
          <w:b/>
          <w:bCs/>
        </w:rPr>
        <w:t>Female:</w:t>
      </w:r>
      <w:r w:rsidRPr="00834E2F">
        <w:t xml:space="preserve"> 588</w:t>
      </w:r>
    </w:p>
    <w:p w14:paraId="71F97B5A" w14:textId="77777777" w:rsidR="00834E2F" w:rsidRPr="00834E2F" w:rsidRDefault="00834E2F" w:rsidP="00834E2F">
      <w:pPr>
        <w:numPr>
          <w:ilvl w:val="1"/>
          <w:numId w:val="2"/>
        </w:numPr>
      </w:pPr>
      <w:r w:rsidRPr="00834E2F">
        <w:rPr>
          <w:b/>
          <w:bCs/>
        </w:rPr>
        <w:t>Male:</w:t>
      </w:r>
      <w:r w:rsidRPr="00834E2F">
        <w:t xml:space="preserve"> 882</w:t>
      </w:r>
    </w:p>
    <w:p w14:paraId="0AFE108D" w14:textId="77777777" w:rsidR="00834E2F" w:rsidRPr="00834E2F" w:rsidRDefault="00834E2F" w:rsidP="00834E2F">
      <w:pPr>
        <w:numPr>
          <w:ilvl w:val="0"/>
          <w:numId w:val="2"/>
        </w:numPr>
      </w:pPr>
      <w:r w:rsidRPr="00834E2F">
        <w:rPr>
          <w:b/>
          <w:bCs/>
        </w:rPr>
        <w:t>Aggregate monthly payroll:</w:t>
      </w:r>
      <w:r w:rsidRPr="00834E2F">
        <w:t xml:space="preserve"> ₦9,559,309</w:t>
      </w:r>
    </w:p>
    <w:p w14:paraId="4FCDB794" w14:textId="77777777" w:rsidR="00834E2F" w:rsidRPr="00834E2F" w:rsidRDefault="00834E2F" w:rsidP="00834E2F">
      <w:pPr>
        <w:numPr>
          <w:ilvl w:val="0"/>
          <w:numId w:val="2"/>
        </w:numPr>
      </w:pPr>
      <w:r w:rsidRPr="00834E2F">
        <w:rPr>
          <w:b/>
          <w:bCs/>
        </w:rPr>
        <w:t>Departments:</w:t>
      </w:r>
    </w:p>
    <w:p w14:paraId="2208981C" w14:textId="77777777" w:rsidR="00834E2F" w:rsidRPr="00834E2F" w:rsidRDefault="00834E2F" w:rsidP="00834E2F">
      <w:pPr>
        <w:numPr>
          <w:ilvl w:val="1"/>
          <w:numId w:val="2"/>
        </w:numPr>
      </w:pPr>
      <w:r w:rsidRPr="00834E2F">
        <w:t>Human Resources: 63</w:t>
      </w:r>
    </w:p>
    <w:p w14:paraId="3EC040DD" w14:textId="77777777" w:rsidR="00834E2F" w:rsidRPr="00834E2F" w:rsidRDefault="00834E2F" w:rsidP="00834E2F">
      <w:pPr>
        <w:numPr>
          <w:ilvl w:val="1"/>
          <w:numId w:val="2"/>
        </w:numPr>
      </w:pPr>
      <w:r w:rsidRPr="00834E2F">
        <w:t>Research &amp; Development: 961</w:t>
      </w:r>
    </w:p>
    <w:p w14:paraId="70853E31" w14:textId="77777777" w:rsidR="00834E2F" w:rsidRPr="00834E2F" w:rsidRDefault="00834E2F" w:rsidP="00834E2F">
      <w:pPr>
        <w:numPr>
          <w:ilvl w:val="1"/>
          <w:numId w:val="2"/>
        </w:numPr>
      </w:pPr>
      <w:r w:rsidRPr="00834E2F">
        <w:t>Sales: 446</w:t>
      </w:r>
    </w:p>
    <w:p w14:paraId="42AFCAD2" w14:textId="77777777" w:rsidR="00834E2F" w:rsidRPr="00834E2F" w:rsidRDefault="00834E2F" w:rsidP="00834E2F">
      <w:r w:rsidRPr="00834E2F">
        <w:pict w14:anchorId="3E1CA7AE">
          <v:rect id="_x0000_i1049" style="width:0;height:1.5pt" o:hralign="center" o:hrstd="t" o:hr="t" fillcolor="#a0a0a0" stroked="f"/>
        </w:pict>
      </w:r>
    </w:p>
    <w:p w14:paraId="6D04BF37" w14:textId="77777777" w:rsidR="00834E2F" w:rsidRPr="00834E2F" w:rsidRDefault="00834E2F" w:rsidP="00834E2F">
      <w:pPr>
        <w:rPr>
          <w:b/>
          <w:bCs/>
        </w:rPr>
      </w:pPr>
      <w:r w:rsidRPr="00834E2F">
        <w:rPr>
          <w:b/>
          <w:bCs/>
        </w:rPr>
        <w:t>1. Respondent Distribution by Age Group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350"/>
        <w:gridCol w:w="1049"/>
      </w:tblGrid>
      <w:tr w:rsidR="00834E2F" w:rsidRPr="00834E2F" w14:paraId="63CDFB08" w14:textId="77777777" w:rsidTr="00834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89485" w14:textId="77777777" w:rsidR="00834E2F" w:rsidRPr="00834E2F" w:rsidRDefault="00834E2F" w:rsidP="00834E2F">
            <w:pPr>
              <w:rPr>
                <w:b/>
                <w:bCs/>
              </w:rPr>
            </w:pPr>
            <w:r w:rsidRPr="00834E2F">
              <w:rPr>
                <w:b/>
                <w:bCs/>
              </w:rPr>
              <w:t>Age Range</w:t>
            </w:r>
          </w:p>
        </w:tc>
        <w:tc>
          <w:tcPr>
            <w:tcW w:w="0" w:type="auto"/>
            <w:vAlign w:val="center"/>
            <w:hideMark/>
          </w:tcPr>
          <w:p w14:paraId="31D68FC1" w14:textId="77777777" w:rsidR="00834E2F" w:rsidRPr="00834E2F" w:rsidRDefault="00834E2F" w:rsidP="00834E2F">
            <w:pPr>
              <w:rPr>
                <w:b/>
                <w:bCs/>
              </w:rPr>
            </w:pPr>
            <w:r w:rsidRPr="00834E2F">
              <w:rPr>
                <w:b/>
                <w:bCs/>
              </w:rPr>
              <w:t>Respondents</w:t>
            </w:r>
          </w:p>
        </w:tc>
        <w:tc>
          <w:tcPr>
            <w:tcW w:w="0" w:type="auto"/>
            <w:vAlign w:val="center"/>
            <w:hideMark/>
          </w:tcPr>
          <w:p w14:paraId="0F55A600" w14:textId="77777777" w:rsidR="00834E2F" w:rsidRPr="00834E2F" w:rsidRDefault="00834E2F" w:rsidP="00834E2F">
            <w:pPr>
              <w:rPr>
                <w:b/>
                <w:bCs/>
              </w:rPr>
            </w:pPr>
            <w:r w:rsidRPr="00834E2F">
              <w:rPr>
                <w:b/>
                <w:bCs/>
              </w:rPr>
              <w:t>% of Total</w:t>
            </w:r>
          </w:p>
        </w:tc>
      </w:tr>
      <w:tr w:rsidR="00834E2F" w:rsidRPr="00834E2F" w14:paraId="20561F70" w14:textId="77777777" w:rsidTr="0083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421D" w14:textId="77777777" w:rsidR="00834E2F" w:rsidRPr="00834E2F" w:rsidRDefault="00834E2F" w:rsidP="00834E2F">
            <w:r w:rsidRPr="00834E2F">
              <w:t>18–27</w:t>
            </w:r>
          </w:p>
        </w:tc>
        <w:tc>
          <w:tcPr>
            <w:tcW w:w="0" w:type="auto"/>
            <w:vAlign w:val="center"/>
            <w:hideMark/>
          </w:tcPr>
          <w:p w14:paraId="3A093511" w14:textId="77777777" w:rsidR="00834E2F" w:rsidRPr="00834E2F" w:rsidRDefault="00834E2F" w:rsidP="00834E2F">
            <w:r w:rsidRPr="00834E2F">
              <w:t>210</w:t>
            </w:r>
          </w:p>
        </w:tc>
        <w:tc>
          <w:tcPr>
            <w:tcW w:w="0" w:type="auto"/>
            <w:vAlign w:val="center"/>
            <w:hideMark/>
          </w:tcPr>
          <w:p w14:paraId="0E45A1A0" w14:textId="77777777" w:rsidR="00834E2F" w:rsidRPr="00834E2F" w:rsidRDefault="00834E2F" w:rsidP="00834E2F">
            <w:r w:rsidRPr="00834E2F">
              <w:t>14.3%</w:t>
            </w:r>
          </w:p>
        </w:tc>
      </w:tr>
      <w:tr w:rsidR="00834E2F" w:rsidRPr="00834E2F" w14:paraId="6673B284" w14:textId="77777777" w:rsidTr="0083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DAE4" w14:textId="77777777" w:rsidR="00834E2F" w:rsidRPr="00834E2F" w:rsidRDefault="00834E2F" w:rsidP="00834E2F">
            <w:r w:rsidRPr="00834E2F">
              <w:t>28–37</w:t>
            </w:r>
          </w:p>
        </w:tc>
        <w:tc>
          <w:tcPr>
            <w:tcW w:w="0" w:type="auto"/>
            <w:vAlign w:val="center"/>
            <w:hideMark/>
          </w:tcPr>
          <w:p w14:paraId="72DA1014" w14:textId="77777777" w:rsidR="00834E2F" w:rsidRPr="00834E2F" w:rsidRDefault="00834E2F" w:rsidP="00834E2F">
            <w:r w:rsidRPr="00834E2F">
              <w:t>638</w:t>
            </w:r>
          </w:p>
        </w:tc>
        <w:tc>
          <w:tcPr>
            <w:tcW w:w="0" w:type="auto"/>
            <w:vAlign w:val="center"/>
            <w:hideMark/>
          </w:tcPr>
          <w:p w14:paraId="32A7B266" w14:textId="77777777" w:rsidR="00834E2F" w:rsidRPr="00834E2F" w:rsidRDefault="00834E2F" w:rsidP="00834E2F">
            <w:r w:rsidRPr="00834E2F">
              <w:t>43.4%</w:t>
            </w:r>
          </w:p>
        </w:tc>
      </w:tr>
      <w:tr w:rsidR="00834E2F" w:rsidRPr="00834E2F" w14:paraId="464976B7" w14:textId="77777777" w:rsidTr="0083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C62" w14:textId="77777777" w:rsidR="00834E2F" w:rsidRPr="00834E2F" w:rsidRDefault="00834E2F" w:rsidP="00834E2F">
            <w:r w:rsidRPr="00834E2F">
              <w:t>38–47</w:t>
            </w:r>
          </w:p>
        </w:tc>
        <w:tc>
          <w:tcPr>
            <w:tcW w:w="0" w:type="auto"/>
            <w:vAlign w:val="center"/>
            <w:hideMark/>
          </w:tcPr>
          <w:p w14:paraId="7C0EE428" w14:textId="77777777" w:rsidR="00834E2F" w:rsidRPr="00834E2F" w:rsidRDefault="00834E2F" w:rsidP="00834E2F">
            <w:r w:rsidRPr="00834E2F">
              <w:t>406</w:t>
            </w:r>
          </w:p>
        </w:tc>
        <w:tc>
          <w:tcPr>
            <w:tcW w:w="0" w:type="auto"/>
            <w:vAlign w:val="center"/>
            <w:hideMark/>
          </w:tcPr>
          <w:p w14:paraId="6253DCC6" w14:textId="77777777" w:rsidR="00834E2F" w:rsidRPr="00834E2F" w:rsidRDefault="00834E2F" w:rsidP="00834E2F">
            <w:r w:rsidRPr="00834E2F">
              <w:t>27.6%</w:t>
            </w:r>
          </w:p>
        </w:tc>
      </w:tr>
      <w:tr w:rsidR="00834E2F" w:rsidRPr="00834E2F" w14:paraId="57A7F9E2" w14:textId="77777777" w:rsidTr="0083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1BB5" w14:textId="77777777" w:rsidR="00834E2F" w:rsidRPr="00834E2F" w:rsidRDefault="00834E2F" w:rsidP="00834E2F">
            <w:r w:rsidRPr="00834E2F">
              <w:t>48–57</w:t>
            </w:r>
          </w:p>
        </w:tc>
        <w:tc>
          <w:tcPr>
            <w:tcW w:w="0" w:type="auto"/>
            <w:vAlign w:val="center"/>
            <w:hideMark/>
          </w:tcPr>
          <w:p w14:paraId="679F9E55" w14:textId="77777777" w:rsidR="00834E2F" w:rsidRPr="00834E2F" w:rsidRDefault="00834E2F" w:rsidP="00834E2F">
            <w:r w:rsidRPr="00834E2F">
              <w:t>187</w:t>
            </w:r>
          </w:p>
        </w:tc>
        <w:tc>
          <w:tcPr>
            <w:tcW w:w="0" w:type="auto"/>
            <w:vAlign w:val="center"/>
            <w:hideMark/>
          </w:tcPr>
          <w:p w14:paraId="718A09D4" w14:textId="77777777" w:rsidR="00834E2F" w:rsidRPr="00834E2F" w:rsidRDefault="00834E2F" w:rsidP="00834E2F">
            <w:r w:rsidRPr="00834E2F">
              <w:t>12.7%</w:t>
            </w:r>
          </w:p>
        </w:tc>
      </w:tr>
      <w:tr w:rsidR="00834E2F" w:rsidRPr="00834E2F" w14:paraId="4DF6182E" w14:textId="77777777" w:rsidTr="00834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A3448" w14:textId="77777777" w:rsidR="00834E2F" w:rsidRPr="00834E2F" w:rsidRDefault="00834E2F" w:rsidP="00834E2F">
            <w:r w:rsidRPr="00834E2F">
              <w:t>58–67</w:t>
            </w:r>
          </w:p>
        </w:tc>
        <w:tc>
          <w:tcPr>
            <w:tcW w:w="0" w:type="auto"/>
            <w:vAlign w:val="center"/>
            <w:hideMark/>
          </w:tcPr>
          <w:p w14:paraId="08249E8D" w14:textId="77777777" w:rsidR="00834E2F" w:rsidRPr="00834E2F" w:rsidRDefault="00834E2F" w:rsidP="00834E2F">
            <w:r w:rsidRPr="00834E2F">
              <w:t>29</w:t>
            </w:r>
          </w:p>
        </w:tc>
        <w:tc>
          <w:tcPr>
            <w:tcW w:w="0" w:type="auto"/>
            <w:vAlign w:val="center"/>
            <w:hideMark/>
          </w:tcPr>
          <w:p w14:paraId="7FE34C61" w14:textId="77777777" w:rsidR="00834E2F" w:rsidRPr="00834E2F" w:rsidRDefault="00834E2F" w:rsidP="00834E2F">
            <w:r w:rsidRPr="00834E2F">
              <w:t>2.0%</w:t>
            </w:r>
          </w:p>
        </w:tc>
      </w:tr>
    </w:tbl>
    <w:p w14:paraId="750A68C3" w14:textId="77777777" w:rsidR="00834E2F" w:rsidRPr="00834E2F" w:rsidRDefault="00834E2F" w:rsidP="00834E2F">
      <w:r w:rsidRPr="00834E2F">
        <w:pict w14:anchorId="6C5985EA">
          <v:rect id="_x0000_i1050" style="width:0;height:1.5pt" o:hralign="center" o:hrstd="t" o:hr="t" fillcolor="#a0a0a0" stroked="f"/>
        </w:pict>
      </w:r>
    </w:p>
    <w:p w14:paraId="2B61E8B1" w14:textId="77777777" w:rsidR="00834E2F" w:rsidRPr="00834E2F" w:rsidRDefault="00834E2F" w:rsidP="00834E2F">
      <w:pPr>
        <w:rPr>
          <w:b/>
          <w:bCs/>
        </w:rPr>
      </w:pPr>
      <w:r w:rsidRPr="00834E2F">
        <w:rPr>
          <w:b/>
          <w:bCs/>
        </w:rPr>
        <w:t>2. Below-Average Earners by Gender, Age &amp; Department</w:t>
      </w:r>
    </w:p>
    <w:p w14:paraId="66289ED9" w14:textId="77777777" w:rsidR="00834E2F" w:rsidRPr="00834E2F" w:rsidRDefault="00834E2F" w:rsidP="00834E2F">
      <w:pPr>
        <w:rPr>
          <w:b/>
          <w:bCs/>
        </w:rPr>
      </w:pPr>
      <w:r w:rsidRPr="00834E2F">
        <w:rPr>
          <w:b/>
          <w:bCs/>
        </w:rPr>
        <w:t>Females</w:t>
      </w:r>
    </w:p>
    <w:p w14:paraId="3F62CEC9" w14:textId="77777777" w:rsidR="00834E2F" w:rsidRPr="00834E2F" w:rsidRDefault="00834E2F" w:rsidP="00834E2F">
      <w:pPr>
        <w:numPr>
          <w:ilvl w:val="0"/>
          <w:numId w:val="3"/>
        </w:numPr>
      </w:pPr>
      <w:r w:rsidRPr="00834E2F">
        <w:rPr>
          <w:b/>
          <w:bCs/>
        </w:rPr>
        <w:t>Criteria:</w:t>
      </w:r>
      <w:r w:rsidRPr="00834E2F">
        <w:t xml:space="preserve"> Earn below the female average salary</w:t>
      </w:r>
    </w:p>
    <w:p w14:paraId="4CA3DAB2" w14:textId="77777777" w:rsidR="00834E2F" w:rsidRPr="00834E2F" w:rsidRDefault="00834E2F" w:rsidP="00834E2F">
      <w:pPr>
        <w:numPr>
          <w:ilvl w:val="0"/>
          <w:numId w:val="3"/>
        </w:numPr>
      </w:pPr>
      <w:r w:rsidRPr="00834E2F">
        <w:rPr>
          <w:b/>
          <w:bCs/>
        </w:rPr>
        <w:t>Key cohorts:</w:t>
      </w:r>
    </w:p>
    <w:p w14:paraId="4509CB29" w14:textId="77777777" w:rsidR="00834E2F" w:rsidRPr="00834E2F" w:rsidRDefault="00834E2F" w:rsidP="00834E2F">
      <w:pPr>
        <w:numPr>
          <w:ilvl w:val="1"/>
          <w:numId w:val="3"/>
        </w:numPr>
      </w:pPr>
      <w:r w:rsidRPr="00834E2F">
        <w:rPr>
          <w:b/>
          <w:bCs/>
        </w:rPr>
        <w:t>Age 18–27 &amp; 28–37</w:t>
      </w:r>
      <w:r w:rsidRPr="00834E2F">
        <w:t xml:space="preserve"> (across HR, R&amp;D &amp; Sales)</w:t>
      </w:r>
    </w:p>
    <w:p w14:paraId="23C3BE56" w14:textId="77777777" w:rsidR="00834E2F" w:rsidRPr="00834E2F" w:rsidRDefault="00834E2F" w:rsidP="00834E2F">
      <w:pPr>
        <w:numPr>
          <w:ilvl w:val="1"/>
          <w:numId w:val="3"/>
        </w:numPr>
      </w:pPr>
      <w:r w:rsidRPr="00834E2F">
        <w:t>Focus group: Early-career and mid-career women</w:t>
      </w:r>
    </w:p>
    <w:p w14:paraId="2769A5F0" w14:textId="77777777" w:rsidR="00834E2F" w:rsidRPr="00834E2F" w:rsidRDefault="00834E2F" w:rsidP="00834E2F">
      <w:pPr>
        <w:rPr>
          <w:b/>
          <w:bCs/>
        </w:rPr>
      </w:pPr>
      <w:r w:rsidRPr="00834E2F">
        <w:rPr>
          <w:b/>
          <w:bCs/>
        </w:rPr>
        <w:lastRenderedPageBreak/>
        <w:t>Males</w:t>
      </w:r>
    </w:p>
    <w:p w14:paraId="1B0FA09C" w14:textId="77777777" w:rsidR="00834E2F" w:rsidRPr="00834E2F" w:rsidRDefault="00834E2F" w:rsidP="00834E2F">
      <w:pPr>
        <w:numPr>
          <w:ilvl w:val="0"/>
          <w:numId w:val="4"/>
        </w:numPr>
      </w:pPr>
      <w:r w:rsidRPr="00834E2F">
        <w:rPr>
          <w:b/>
          <w:bCs/>
        </w:rPr>
        <w:t>Criteria:</w:t>
      </w:r>
      <w:r w:rsidRPr="00834E2F">
        <w:t xml:space="preserve"> Earn below the male average salary</w:t>
      </w:r>
    </w:p>
    <w:p w14:paraId="419151E5" w14:textId="77777777" w:rsidR="00834E2F" w:rsidRPr="00834E2F" w:rsidRDefault="00834E2F" w:rsidP="00834E2F">
      <w:pPr>
        <w:numPr>
          <w:ilvl w:val="0"/>
          <w:numId w:val="4"/>
        </w:numPr>
      </w:pPr>
      <w:r w:rsidRPr="00834E2F">
        <w:rPr>
          <w:b/>
          <w:bCs/>
        </w:rPr>
        <w:t>Key cohorts:</w:t>
      </w:r>
    </w:p>
    <w:p w14:paraId="7EFF9421" w14:textId="77777777" w:rsidR="00834E2F" w:rsidRPr="00834E2F" w:rsidRDefault="00834E2F" w:rsidP="00834E2F">
      <w:pPr>
        <w:numPr>
          <w:ilvl w:val="1"/>
          <w:numId w:val="4"/>
        </w:numPr>
      </w:pPr>
      <w:r w:rsidRPr="00834E2F">
        <w:rPr>
          <w:b/>
          <w:bCs/>
        </w:rPr>
        <w:t>Age 18–27 &amp; 28–37</w:t>
      </w:r>
      <w:r w:rsidRPr="00834E2F">
        <w:t xml:space="preserve"> (across all departments)</w:t>
      </w:r>
    </w:p>
    <w:p w14:paraId="2DE2C34E" w14:textId="77777777" w:rsidR="00834E2F" w:rsidRPr="00834E2F" w:rsidRDefault="00834E2F" w:rsidP="00834E2F">
      <w:pPr>
        <w:numPr>
          <w:ilvl w:val="1"/>
          <w:numId w:val="4"/>
        </w:numPr>
      </w:pPr>
      <w:r w:rsidRPr="00834E2F">
        <w:rPr>
          <w:b/>
          <w:bCs/>
        </w:rPr>
        <w:t>Age 58–67</w:t>
      </w:r>
      <w:r w:rsidRPr="00834E2F">
        <w:t xml:space="preserve"> (specifically in Human Resources)</w:t>
      </w:r>
    </w:p>
    <w:p w14:paraId="6F6B50FD" w14:textId="77777777" w:rsidR="00834E2F" w:rsidRPr="00834E2F" w:rsidRDefault="00834E2F" w:rsidP="00834E2F">
      <w:pPr>
        <w:numPr>
          <w:ilvl w:val="1"/>
          <w:numId w:val="4"/>
        </w:numPr>
      </w:pPr>
      <w:r w:rsidRPr="00834E2F">
        <w:t xml:space="preserve">Focus group: </w:t>
      </w:r>
      <w:proofErr w:type="gramStart"/>
      <w:r w:rsidRPr="00834E2F">
        <w:t>Young</w:t>
      </w:r>
      <w:proofErr w:type="gramEnd"/>
      <w:r w:rsidRPr="00834E2F">
        <w:t xml:space="preserve"> hires, established professionals, and senior HR staff</w:t>
      </w:r>
    </w:p>
    <w:p w14:paraId="030EE8F5" w14:textId="77777777" w:rsidR="00834E2F" w:rsidRPr="00834E2F" w:rsidRDefault="00834E2F" w:rsidP="00834E2F">
      <w:r w:rsidRPr="00834E2F">
        <w:pict w14:anchorId="41735BB1">
          <v:rect id="_x0000_i1051" style="width:0;height:1.5pt" o:hralign="center" o:hrstd="t" o:hr="t" fillcolor="#a0a0a0" stroked="f"/>
        </w:pict>
      </w:r>
    </w:p>
    <w:p w14:paraId="6E0BB9F8" w14:textId="77777777" w:rsidR="00834E2F" w:rsidRPr="00834E2F" w:rsidRDefault="00834E2F" w:rsidP="00834E2F">
      <w:pPr>
        <w:rPr>
          <w:b/>
          <w:bCs/>
        </w:rPr>
      </w:pPr>
      <w:r w:rsidRPr="00834E2F">
        <w:rPr>
          <w:b/>
          <w:bCs/>
        </w:rPr>
        <w:t>3. Recommendations</w:t>
      </w:r>
    </w:p>
    <w:p w14:paraId="52EA5D6D" w14:textId="77777777" w:rsidR="00834E2F" w:rsidRPr="00834E2F" w:rsidRDefault="00834E2F" w:rsidP="00834E2F">
      <w:pPr>
        <w:numPr>
          <w:ilvl w:val="0"/>
          <w:numId w:val="5"/>
        </w:numPr>
      </w:pPr>
      <w:r w:rsidRPr="00834E2F">
        <w:rPr>
          <w:b/>
          <w:bCs/>
        </w:rPr>
        <w:t>Targeted Salary Adjustments</w:t>
      </w:r>
    </w:p>
    <w:p w14:paraId="040EF299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rPr>
          <w:b/>
          <w:bCs/>
        </w:rPr>
        <w:t>R&amp;D Department:</w:t>
      </w:r>
      <w:r w:rsidRPr="00834E2F">
        <w:t xml:space="preserve"> Initiate a phased salary benchmark review—given its size (961 employees) and critical innovation focus—to ensure competitive remuneration.</w:t>
      </w:r>
    </w:p>
    <w:p w14:paraId="4C7D7C72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rPr>
          <w:b/>
          <w:bCs/>
        </w:rPr>
        <w:t>Young Professionals (18–37):</w:t>
      </w:r>
      <w:r w:rsidRPr="00834E2F">
        <w:t xml:space="preserve"> Across all departments, identify below-average earners and adjust to at least the gender-specific median salary for their age bracket.</w:t>
      </w:r>
    </w:p>
    <w:p w14:paraId="051C0958" w14:textId="77777777" w:rsidR="00834E2F" w:rsidRPr="00834E2F" w:rsidRDefault="00834E2F" w:rsidP="00834E2F">
      <w:pPr>
        <w:numPr>
          <w:ilvl w:val="0"/>
          <w:numId w:val="5"/>
        </w:numPr>
      </w:pPr>
      <w:r w:rsidRPr="00834E2F">
        <w:rPr>
          <w:b/>
          <w:bCs/>
        </w:rPr>
        <w:t>Senior HR Staff (Male, 58–67)</w:t>
      </w:r>
    </w:p>
    <w:p w14:paraId="1F9F25F9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t>Conduct a special compensation audit for late-career HR employees, aligning them with market rates for executive assistants, HR generalists, and managers in the same age cohort.</w:t>
      </w:r>
    </w:p>
    <w:p w14:paraId="3780935B" w14:textId="77777777" w:rsidR="00834E2F" w:rsidRPr="00834E2F" w:rsidRDefault="00834E2F" w:rsidP="00834E2F">
      <w:pPr>
        <w:numPr>
          <w:ilvl w:val="0"/>
          <w:numId w:val="5"/>
        </w:numPr>
      </w:pPr>
      <w:r w:rsidRPr="00834E2F">
        <w:rPr>
          <w:b/>
          <w:bCs/>
        </w:rPr>
        <w:t>Equity &amp; Retention Programs</w:t>
      </w:r>
    </w:p>
    <w:p w14:paraId="5AA1D1FD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rPr>
          <w:b/>
          <w:bCs/>
        </w:rPr>
        <w:t>Gender Pay Gap Analysis:</w:t>
      </w:r>
      <w:r w:rsidRPr="00834E2F">
        <w:t xml:space="preserve"> Beyond adjusting salaries, perform a deeper analysis of hiring, promotion, and bonus practices to close systemic gaps between male and female employees.</w:t>
      </w:r>
    </w:p>
    <w:p w14:paraId="0D01BF24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rPr>
          <w:b/>
          <w:bCs/>
        </w:rPr>
        <w:t>Mentorship &amp; Career Pathing:</w:t>
      </w:r>
      <w:r w:rsidRPr="00834E2F">
        <w:t xml:space="preserve"> For entry-and mid-level staff (especially underpaid females aged 18–37), launch an accelerated development program pairing them with senior mentors, coupled with clear promotion criteria.</w:t>
      </w:r>
    </w:p>
    <w:p w14:paraId="170E6E98" w14:textId="77777777" w:rsidR="00834E2F" w:rsidRPr="00834E2F" w:rsidRDefault="00834E2F" w:rsidP="00834E2F">
      <w:pPr>
        <w:numPr>
          <w:ilvl w:val="0"/>
          <w:numId w:val="5"/>
        </w:numPr>
      </w:pPr>
      <w:r w:rsidRPr="00834E2F">
        <w:rPr>
          <w:b/>
          <w:bCs/>
        </w:rPr>
        <w:t>Performance-Linked Incentives</w:t>
      </w:r>
    </w:p>
    <w:p w14:paraId="1FB57EA2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t>Introduce quarterly performance bonuses or spot awards tied to departmental KPIs—particularly for Sales and R&amp;D—to boost motivation and align pay with results.</w:t>
      </w:r>
    </w:p>
    <w:p w14:paraId="10C7D649" w14:textId="77777777" w:rsidR="00834E2F" w:rsidRPr="00834E2F" w:rsidRDefault="00834E2F" w:rsidP="00834E2F">
      <w:pPr>
        <w:numPr>
          <w:ilvl w:val="0"/>
          <w:numId w:val="5"/>
        </w:numPr>
      </w:pPr>
      <w:r w:rsidRPr="00834E2F">
        <w:rPr>
          <w:b/>
          <w:bCs/>
        </w:rPr>
        <w:lastRenderedPageBreak/>
        <w:t>Regular Market Benchmarking</w:t>
      </w:r>
    </w:p>
    <w:p w14:paraId="5D74624B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t xml:space="preserve">Establish a bi-annual compensation review cycle using external salary surveys (e.g., PwC, Hay Group) to keep </w:t>
      </w:r>
      <w:proofErr w:type="spellStart"/>
      <w:r w:rsidRPr="00834E2F">
        <w:t>LayKon’s</w:t>
      </w:r>
      <w:proofErr w:type="spellEnd"/>
      <w:r w:rsidRPr="00834E2F">
        <w:t xml:space="preserve"> pay scales within the top quartile of comparable organizations.</w:t>
      </w:r>
    </w:p>
    <w:p w14:paraId="54EBC4CA" w14:textId="77777777" w:rsidR="00834E2F" w:rsidRPr="00834E2F" w:rsidRDefault="00834E2F" w:rsidP="00834E2F">
      <w:pPr>
        <w:numPr>
          <w:ilvl w:val="0"/>
          <w:numId w:val="5"/>
        </w:numPr>
      </w:pPr>
      <w:r w:rsidRPr="00834E2F">
        <w:rPr>
          <w:b/>
          <w:bCs/>
        </w:rPr>
        <w:t>Well-Being &amp; Total Rewards Enhancement</w:t>
      </w:r>
    </w:p>
    <w:p w14:paraId="73E968A6" w14:textId="77777777" w:rsidR="00834E2F" w:rsidRPr="00834E2F" w:rsidRDefault="00834E2F" w:rsidP="00834E2F">
      <w:pPr>
        <w:numPr>
          <w:ilvl w:val="1"/>
          <w:numId w:val="5"/>
        </w:numPr>
      </w:pPr>
      <w:r w:rsidRPr="00834E2F">
        <w:t>Consider non-monetary benefits—such as flexible work hours, paid training stipends, and health &amp; wellness programs—to improve overall employee satisfaction, especially for lower-paid cohorts.</w:t>
      </w:r>
    </w:p>
    <w:p w14:paraId="5C609E64" w14:textId="77777777" w:rsidR="00834E2F" w:rsidRPr="00834E2F" w:rsidRDefault="00834E2F" w:rsidP="00834E2F">
      <w:r w:rsidRPr="00834E2F">
        <w:pict w14:anchorId="01916E8B">
          <v:rect id="_x0000_i1052" style="width:0;height:1.5pt" o:hralign="center" o:hrstd="t" o:hr="t" fillcolor="#a0a0a0" stroked="f"/>
        </w:pict>
      </w:r>
    </w:p>
    <w:p w14:paraId="01A9465D" w14:textId="77777777" w:rsidR="00834E2F" w:rsidRPr="00834E2F" w:rsidRDefault="00834E2F" w:rsidP="00834E2F">
      <w:r w:rsidRPr="00834E2F">
        <w:rPr>
          <w:b/>
          <w:bCs/>
        </w:rPr>
        <w:t>Next Steps:</w:t>
      </w:r>
    </w:p>
    <w:p w14:paraId="55FCFDB4" w14:textId="77777777" w:rsidR="00834E2F" w:rsidRPr="00834E2F" w:rsidRDefault="00834E2F" w:rsidP="00834E2F">
      <w:pPr>
        <w:numPr>
          <w:ilvl w:val="0"/>
          <w:numId w:val="6"/>
        </w:numPr>
      </w:pPr>
      <w:r w:rsidRPr="00834E2F">
        <w:rPr>
          <w:b/>
          <w:bCs/>
        </w:rPr>
        <w:t>Data Deep-Dive:</w:t>
      </w:r>
      <w:r w:rsidRPr="00834E2F">
        <w:t xml:space="preserve"> Drill into department- and role-specific salary distributions to quantify the absolute number of below-average earners.</w:t>
      </w:r>
    </w:p>
    <w:p w14:paraId="659DCAC4" w14:textId="77777777" w:rsidR="00834E2F" w:rsidRPr="00834E2F" w:rsidRDefault="00834E2F" w:rsidP="00834E2F">
      <w:pPr>
        <w:numPr>
          <w:ilvl w:val="0"/>
          <w:numId w:val="6"/>
        </w:numPr>
      </w:pPr>
      <w:r w:rsidRPr="00834E2F">
        <w:rPr>
          <w:b/>
          <w:bCs/>
        </w:rPr>
        <w:t>Stakeholder Alignment:</w:t>
      </w:r>
      <w:r w:rsidRPr="00834E2F">
        <w:t xml:space="preserve"> Present these findings and recommendations to Finance, HR leadership, and the Executive Board for budget approval.</w:t>
      </w:r>
    </w:p>
    <w:p w14:paraId="7178A77A" w14:textId="77777777" w:rsidR="00834E2F" w:rsidRPr="00834E2F" w:rsidRDefault="00834E2F" w:rsidP="00834E2F">
      <w:pPr>
        <w:numPr>
          <w:ilvl w:val="0"/>
          <w:numId w:val="6"/>
        </w:numPr>
      </w:pPr>
      <w:r w:rsidRPr="00834E2F">
        <w:rPr>
          <w:b/>
          <w:bCs/>
        </w:rPr>
        <w:t>Implementation Roadmap:</w:t>
      </w:r>
      <w:r w:rsidRPr="00834E2F">
        <w:t xml:space="preserve"> Develop a three-phase rollout plan—immediate salary corrections, mid-term incentive programs, and long-term market benchmarking processes.</w:t>
      </w:r>
    </w:p>
    <w:p w14:paraId="3CBDF133" w14:textId="77777777" w:rsidR="00834E2F" w:rsidRPr="00834E2F" w:rsidRDefault="00834E2F" w:rsidP="00834E2F">
      <w:r w:rsidRPr="00834E2F">
        <w:t xml:space="preserve">By adopting these measures, </w:t>
      </w:r>
      <w:proofErr w:type="spellStart"/>
      <w:r w:rsidRPr="00834E2F">
        <w:t>LayKon</w:t>
      </w:r>
      <w:proofErr w:type="spellEnd"/>
      <w:r w:rsidRPr="00834E2F">
        <w:t xml:space="preserve"> Designs &amp; Research Institute will not only ensure fair and competitive compensation but also strengthen employee engagement and retention across all levels.</w:t>
      </w:r>
    </w:p>
    <w:p w14:paraId="18ECBDA4" w14:textId="1E90575A" w:rsidR="00834E2F" w:rsidRDefault="00834E2F">
      <w:r>
        <w:rPr>
          <w:noProof/>
        </w:rPr>
        <w:lastRenderedPageBreak/>
        <w:drawing>
          <wp:inline distT="0" distB="0" distL="0" distR="0" wp14:anchorId="2273CCBF" wp14:editId="4F8285F1">
            <wp:extent cx="4406900" cy="737235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72CC00E-D537-8B98-2812-E7A36F402C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72CC00E-D537-8B98-2812-E7A36F402C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7372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935C69B" w14:textId="77777777" w:rsidR="00834E2F" w:rsidRDefault="00834E2F"/>
    <w:p w14:paraId="6F6325E2" w14:textId="49B15154" w:rsidR="00834E2F" w:rsidRDefault="00834E2F">
      <w:r>
        <w:rPr>
          <w:noProof/>
        </w:rPr>
        <w:lastRenderedPageBreak/>
        <w:drawing>
          <wp:inline distT="0" distB="0" distL="0" distR="0" wp14:anchorId="3289D1AB" wp14:editId="6C3D51E7">
            <wp:extent cx="4552950" cy="73723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A272871-F8E6-A806-7E95-94010D443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A272871-F8E6-A806-7E95-94010D4433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372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83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37B9"/>
    <w:multiLevelType w:val="multilevel"/>
    <w:tmpl w:val="E786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B04DA"/>
    <w:multiLevelType w:val="multilevel"/>
    <w:tmpl w:val="A1BC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12B53"/>
    <w:multiLevelType w:val="multilevel"/>
    <w:tmpl w:val="780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7323"/>
    <w:multiLevelType w:val="multilevel"/>
    <w:tmpl w:val="C24C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A234A"/>
    <w:multiLevelType w:val="multilevel"/>
    <w:tmpl w:val="F12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A0BB8"/>
    <w:multiLevelType w:val="multilevel"/>
    <w:tmpl w:val="950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2480">
    <w:abstractNumId w:val="1"/>
  </w:num>
  <w:num w:numId="2" w16cid:durableId="1776553630">
    <w:abstractNumId w:val="5"/>
  </w:num>
  <w:num w:numId="3" w16cid:durableId="1488086370">
    <w:abstractNumId w:val="2"/>
  </w:num>
  <w:num w:numId="4" w16cid:durableId="481196884">
    <w:abstractNumId w:val="4"/>
  </w:num>
  <w:num w:numId="5" w16cid:durableId="908660156">
    <w:abstractNumId w:val="3"/>
  </w:num>
  <w:num w:numId="6" w16cid:durableId="148361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F"/>
    <w:rsid w:val="00834E2F"/>
    <w:rsid w:val="00E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782"/>
  <w15:chartTrackingRefBased/>
  <w15:docId w15:val="{69615BF4-AFC4-4DFD-965C-3EFFBC18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2F"/>
  </w:style>
  <w:style w:type="paragraph" w:styleId="Heading1">
    <w:name w:val="heading 1"/>
    <w:basedOn w:val="Normal"/>
    <w:next w:val="Normal"/>
    <w:link w:val="Heading1Char"/>
    <w:uiPriority w:val="9"/>
    <w:qFormat/>
    <w:rsid w:val="00834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2025-05-19T11:57:00Z</dcterms:created>
  <dcterms:modified xsi:type="dcterms:W3CDTF">2025-05-19T12:01:00Z</dcterms:modified>
</cp:coreProperties>
</file>