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93B78" w14:textId="77777777" w:rsidR="00AD6380" w:rsidRPr="00AD6380" w:rsidRDefault="00AD6380" w:rsidP="00AD6380">
      <w:pPr>
        <w:rPr>
          <w:b/>
          <w:bCs/>
        </w:rPr>
      </w:pPr>
      <w:r w:rsidRPr="00AD6380">
        <w:rPr>
          <w:b/>
          <w:bCs/>
        </w:rPr>
        <w:t>Unveiling the Future of Location Intelligence</w:t>
      </w:r>
    </w:p>
    <w:p w14:paraId="3DFB2EA1" w14:textId="344A147A" w:rsidR="00AD6380" w:rsidRPr="00AD6380" w:rsidRDefault="00AD6380" w:rsidP="00AD6380">
      <w:r w:rsidRPr="00AD6380">
        <w:t xml:space="preserve">We are entering a new era where geospatial analytics drives decision-making across industries. By combining Geographic Information Systems (GIS), Remote Sensing, and Global Positioning Systems (GPS), geospatial analytics empowers organizations to visualize, interpret, and </w:t>
      </w:r>
      <w:proofErr w:type="spellStart"/>
      <w:r w:rsidRPr="00AD6380">
        <w:t>analyze</w:t>
      </w:r>
      <w:proofErr w:type="spellEnd"/>
      <w:r w:rsidRPr="00AD6380">
        <w:t xml:space="preserve"> spatial data for actionable insights. This article delivers a comprehensive, keyword-optimized overview of the </w:t>
      </w:r>
      <w:hyperlink r:id="rId5" w:history="1">
        <w:r w:rsidRPr="00AD6380">
          <w:rPr>
            <w:rStyle w:val="Hyperlink"/>
            <w:b/>
            <w:bCs/>
          </w:rPr>
          <w:t>Geospatial Analytics Market</w:t>
        </w:r>
      </w:hyperlink>
      <w:r w:rsidRPr="00AD6380">
        <w:t>, covering current trends, key technologies, growth forecasts, regional insights, industry segmentation, and competitive landscape—all geared to outperform competing content in search visibility.</w:t>
      </w:r>
    </w:p>
    <w:p w14:paraId="6838ADA1" w14:textId="7C3B4B6D" w:rsidR="00AD6380" w:rsidRDefault="00AD6380" w:rsidP="00AD6380"/>
    <w:p w14:paraId="6BFE7D33" w14:textId="77777777" w:rsidR="00AD6380" w:rsidRDefault="00AD6380" w:rsidP="00AD6380">
      <w:pPr>
        <w:rPr>
          <w:b/>
          <w:bCs/>
        </w:rPr>
      </w:pPr>
      <w:r w:rsidRPr="00135FF5">
        <w:rPr>
          <w:b/>
          <w:bCs/>
        </w:rPr>
        <w:t>Request Sample Report PDF (including TOC, Graphs &amp; Tables):</w:t>
      </w:r>
      <w:r w:rsidRPr="00AD6380">
        <w:t xml:space="preserve"> </w:t>
      </w:r>
      <w:hyperlink r:id="rId6" w:history="1">
        <w:r w:rsidRPr="00F14691">
          <w:rPr>
            <w:rStyle w:val="Hyperlink"/>
            <w:b/>
            <w:bCs/>
          </w:rPr>
          <w:t>https://www.statsandresearch.com/request-sample/40286-global-geospatial-analytics-market</w:t>
        </w:r>
      </w:hyperlink>
    </w:p>
    <w:p w14:paraId="76291D77" w14:textId="77777777" w:rsidR="00AD6380" w:rsidRDefault="00AD6380" w:rsidP="00AD6380">
      <w:pPr>
        <w:rPr>
          <w:b/>
          <w:bCs/>
        </w:rPr>
      </w:pPr>
    </w:p>
    <w:p w14:paraId="6169DCD7" w14:textId="6CEDB441" w:rsidR="00AD6380" w:rsidRPr="00AD6380" w:rsidRDefault="00AD6380" w:rsidP="00AD6380">
      <w:pPr>
        <w:rPr>
          <w:b/>
          <w:bCs/>
        </w:rPr>
      </w:pPr>
      <w:r w:rsidRPr="00AD6380">
        <w:rPr>
          <w:b/>
          <w:bCs/>
        </w:rPr>
        <w:t>Key Geospatial Analytics Market</w:t>
      </w:r>
      <w:r>
        <w:rPr>
          <w:b/>
          <w:bCs/>
        </w:rPr>
        <w:t xml:space="preserve"> </w:t>
      </w:r>
      <w:r w:rsidRPr="00AD6380">
        <w:rPr>
          <w:b/>
          <w:bCs/>
        </w:rPr>
        <w:t>Insights and Forecast (2025–2030)</w:t>
      </w:r>
    </w:p>
    <w:p w14:paraId="354A1EC4" w14:textId="77777777" w:rsidR="00AD6380" w:rsidRPr="00AD6380" w:rsidRDefault="00AD6380" w:rsidP="00AD6380">
      <w:r w:rsidRPr="00AD6380">
        <w:t xml:space="preserve">The </w:t>
      </w:r>
      <w:r w:rsidRPr="00AD6380">
        <w:rPr>
          <w:b/>
          <w:bCs/>
        </w:rPr>
        <w:t>global geospatial analytics market</w:t>
      </w:r>
      <w:r w:rsidRPr="00AD6380">
        <w:t xml:space="preserve"> is forecasted to experience robust growth, expanding at a </w:t>
      </w:r>
      <w:r w:rsidRPr="00AD6380">
        <w:rPr>
          <w:b/>
          <w:bCs/>
        </w:rPr>
        <w:t>CAGR of 12.8% from 2023 to 2030</w:t>
      </w:r>
      <w:r w:rsidRPr="00AD6380">
        <w:t>, driven by surging demand for real-time location intelligence, smart city initiatives, and precision agriculture. By 2030, the market is projected to reach multi-billion-dollar valuations, propelled by the convergence of cloud computing, 5G, AI, and big data analytics with geospatial intelligence.</w:t>
      </w:r>
    </w:p>
    <w:p w14:paraId="225C682D" w14:textId="77777777" w:rsidR="00AD6380" w:rsidRPr="00135FF5" w:rsidRDefault="00AD6380" w:rsidP="00AD6380">
      <w:pPr>
        <w:rPr>
          <w:b/>
          <w:bCs/>
        </w:rPr>
      </w:pPr>
    </w:p>
    <w:p w14:paraId="4E154942" w14:textId="77777777" w:rsidR="00AD6380" w:rsidRPr="00AD6380" w:rsidRDefault="00AD6380" w:rsidP="00AD6380">
      <w:r w:rsidRPr="00135FF5">
        <w:rPr>
          <w:b/>
          <w:bCs/>
        </w:rPr>
        <w:t>Get up to 30%</w:t>
      </w:r>
      <w:r>
        <w:rPr>
          <w:b/>
          <w:bCs/>
        </w:rPr>
        <w:t>-40%</w:t>
      </w:r>
      <w:r w:rsidRPr="00135FF5">
        <w:rPr>
          <w:b/>
          <w:bCs/>
        </w:rPr>
        <w:t xml:space="preserve"> Discount:</w:t>
      </w:r>
      <w:r w:rsidRPr="00AD6380">
        <w:t xml:space="preserve"> </w:t>
      </w:r>
      <w:hyperlink r:id="rId7" w:history="1">
        <w:r w:rsidRPr="00F14691">
          <w:rPr>
            <w:rStyle w:val="Hyperlink"/>
            <w:b/>
            <w:bCs/>
          </w:rPr>
          <w:t>https://www.statsandresearch.com/check-discount/40286-global-geospatial-analytics-market</w:t>
        </w:r>
      </w:hyperlink>
    </w:p>
    <w:p w14:paraId="5045F005" w14:textId="77777777" w:rsidR="00AD6380" w:rsidRPr="00AD6380" w:rsidRDefault="00AD6380" w:rsidP="00AD6380"/>
    <w:p w14:paraId="2B6FC5FE" w14:textId="4BC5BF49" w:rsidR="00AD6380" w:rsidRPr="00AD6380" w:rsidRDefault="00AD6380" w:rsidP="00AD6380">
      <w:pPr>
        <w:rPr>
          <w:b/>
          <w:bCs/>
        </w:rPr>
      </w:pPr>
      <w:r w:rsidRPr="00AD6380">
        <w:rPr>
          <w:b/>
          <w:bCs/>
        </w:rPr>
        <w:t>Geospatial Analytics Market</w:t>
      </w:r>
      <w:r>
        <w:rPr>
          <w:b/>
          <w:bCs/>
        </w:rPr>
        <w:t xml:space="preserve"> </w:t>
      </w:r>
      <w:r w:rsidRPr="00AD6380">
        <w:rPr>
          <w:b/>
          <w:bCs/>
        </w:rPr>
        <w:t>Segmentation and Deep Dive Analysis</w:t>
      </w:r>
    </w:p>
    <w:p w14:paraId="7A0B7A36" w14:textId="77777777" w:rsidR="00AD6380" w:rsidRPr="00AD6380" w:rsidRDefault="00AD6380" w:rsidP="00AD6380">
      <w:pPr>
        <w:rPr>
          <w:b/>
          <w:bCs/>
        </w:rPr>
      </w:pPr>
      <w:r w:rsidRPr="00AD6380">
        <w:rPr>
          <w:b/>
          <w:bCs/>
        </w:rPr>
        <w:t>By Offering: Solutions vs. Services</w:t>
      </w:r>
    </w:p>
    <w:p w14:paraId="255C5AC3" w14:textId="77777777" w:rsidR="00AD6380" w:rsidRPr="00AD6380" w:rsidRDefault="00AD6380" w:rsidP="00AD6380">
      <w:r w:rsidRPr="00AD6380">
        <w:rPr>
          <w:b/>
          <w:bCs/>
        </w:rPr>
        <w:t>Solutions</w:t>
      </w:r>
      <w:r w:rsidRPr="00AD6380">
        <w:t xml:space="preserve">, including spatial data visualization platforms, geospatial </w:t>
      </w:r>
      <w:proofErr w:type="spellStart"/>
      <w:r w:rsidRPr="00AD6380">
        <w:t>modeling</w:t>
      </w:r>
      <w:proofErr w:type="spellEnd"/>
      <w:r w:rsidRPr="00AD6380">
        <w:t xml:space="preserve">, and simulation software, dominate the market. Advanced 4D GIS tools have emerged, enabling dynamic time-space analysis. Cloud-native platforms are </w:t>
      </w:r>
      <w:proofErr w:type="spellStart"/>
      <w:r w:rsidRPr="00AD6380">
        <w:t>favored</w:t>
      </w:r>
      <w:proofErr w:type="spellEnd"/>
      <w:r w:rsidRPr="00AD6380">
        <w:t xml:space="preserve"> for scalability, collaboration, and integration with business intelligence ecosystems.</w:t>
      </w:r>
    </w:p>
    <w:p w14:paraId="6312A8F4" w14:textId="77777777" w:rsidR="00AD6380" w:rsidRPr="00AD6380" w:rsidRDefault="00AD6380" w:rsidP="00AD6380">
      <w:r w:rsidRPr="00AD6380">
        <w:rPr>
          <w:b/>
          <w:bCs/>
        </w:rPr>
        <w:t>Services</w:t>
      </w:r>
      <w:r w:rsidRPr="00AD6380">
        <w:t>, such as system integration, consulting, and training, are gaining traction as enterprises strive to modernize legacy systems and maximize return on investment in spatial data infrastructure.</w:t>
      </w:r>
    </w:p>
    <w:p w14:paraId="5DE888BB" w14:textId="77777777" w:rsidR="00AD6380" w:rsidRPr="00AD6380" w:rsidRDefault="00AD6380" w:rsidP="00AD6380">
      <w:pPr>
        <w:rPr>
          <w:b/>
          <w:bCs/>
        </w:rPr>
      </w:pPr>
      <w:r w:rsidRPr="00AD6380">
        <w:rPr>
          <w:b/>
          <w:bCs/>
        </w:rPr>
        <w:lastRenderedPageBreak/>
        <w:t>By Technology</w:t>
      </w:r>
    </w:p>
    <w:p w14:paraId="3CD263F2" w14:textId="77777777" w:rsidR="00AD6380" w:rsidRPr="00AD6380" w:rsidRDefault="00AD6380" w:rsidP="00AD6380">
      <w:pPr>
        <w:numPr>
          <w:ilvl w:val="0"/>
          <w:numId w:val="1"/>
        </w:numPr>
      </w:pPr>
      <w:r w:rsidRPr="00AD6380">
        <w:rPr>
          <w:b/>
          <w:bCs/>
        </w:rPr>
        <w:t>Remote Sensing</w:t>
      </w:r>
      <w:r w:rsidRPr="00AD6380">
        <w:t xml:space="preserve">: Satellite and aerial imagery form the backbone of geospatial datasets. Increasing deployment of remote-sensing satellites for environmental monitoring and surveillance is </w:t>
      </w:r>
      <w:proofErr w:type="spellStart"/>
      <w:r w:rsidRPr="00AD6380">
        <w:t>fueling</w:t>
      </w:r>
      <w:proofErr w:type="spellEnd"/>
      <w:r w:rsidRPr="00AD6380">
        <w:t xml:space="preserve"> segment growth.</w:t>
      </w:r>
    </w:p>
    <w:p w14:paraId="6E5117F9" w14:textId="77777777" w:rsidR="00AD6380" w:rsidRPr="00AD6380" w:rsidRDefault="00AD6380" w:rsidP="00AD6380">
      <w:pPr>
        <w:numPr>
          <w:ilvl w:val="0"/>
          <w:numId w:val="1"/>
        </w:numPr>
      </w:pPr>
      <w:r w:rsidRPr="00AD6380">
        <w:rPr>
          <w:b/>
          <w:bCs/>
        </w:rPr>
        <w:t>GPS</w:t>
      </w:r>
      <w:r w:rsidRPr="00AD6380">
        <w:t>: The proliferation of IoT devices and mobile mapping apps has spurred GPS utilization across sectors.</w:t>
      </w:r>
    </w:p>
    <w:p w14:paraId="38119C3A" w14:textId="77777777" w:rsidR="00AD6380" w:rsidRPr="00AD6380" w:rsidRDefault="00AD6380" w:rsidP="00AD6380">
      <w:pPr>
        <w:numPr>
          <w:ilvl w:val="0"/>
          <w:numId w:val="1"/>
        </w:numPr>
      </w:pPr>
      <w:r w:rsidRPr="00AD6380">
        <w:rPr>
          <w:b/>
          <w:bCs/>
        </w:rPr>
        <w:t>GIS (Geographic Information Systems)</w:t>
      </w:r>
      <w:r w:rsidRPr="00AD6380">
        <w:t xml:space="preserve">: Still the core framework for storing, managing, and </w:t>
      </w:r>
      <w:proofErr w:type="spellStart"/>
      <w:r w:rsidRPr="00AD6380">
        <w:t>analyzing</w:t>
      </w:r>
      <w:proofErr w:type="spellEnd"/>
      <w:r w:rsidRPr="00AD6380">
        <w:t xml:space="preserve"> spatial data. Widely used in urban planning, resource management, and logistics.</w:t>
      </w:r>
    </w:p>
    <w:p w14:paraId="16A31EC9" w14:textId="77777777" w:rsidR="00AD6380" w:rsidRPr="00AD6380" w:rsidRDefault="00AD6380" w:rsidP="00AD6380">
      <w:pPr>
        <w:numPr>
          <w:ilvl w:val="0"/>
          <w:numId w:val="1"/>
        </w:numPr>
      </w:pPr>
      <w:r w:rsidRPr="00AD6380">
        <w:rPr>
          <w:b/>
          <w:bCs/>
        </w:rPr>
        <w:t>Others</w:t>
      </w:r>
      <w:r w:rsidRPr="00AD6380">
        <w:t>: LiDAR, photogrammetry, and radar imaging are enhancing precision in data collection for high-stakes applications such as disaster response and military intelligence.</w:t>
      </w:r>
    </w:p>
    <w:p w14:paraId="0AE0C3F6" w14:textId="77777777" w:rsidR="00AD6380" w:rsidRPr="00AD6380" w:rsidRDefault="00AD6380" w:rsidP="00AD6380">
      <w:pPr>
        <w:rPr>
          <w:b/>
          <w:bCs/>
        </w:rPr>
      </w:pPr>
      <w:r w:rsidRPr="00AD6380">
        <w:rPr>
          <w:b/>
          <w:bCs/>
        </w:rPr>
        <w:t>By Type</w:t>
      </w:r>
    </w:p>
    <w:p w14:paraId="6BCA7E05" w14:textId="77777777" w:rsidR="00AD6380" w:rsidRPr="00AD6380" w:rsidRDefault="00AD6380" w:rsidP="00AD6380">
      <w:pPr>
        <w:numPr>
          <w:ilvl w:val="0"/>
          <w:numId w:val="2"/>
        </w:numPr>
      </w:pPr>
      <w:r w:rsidRPr="00AD6380">
        <w:rPr>
          <w:b/>
          <w:bCs/>
        </w:rPr>
        <w:t>Surface &amp; Field Analytics</w:t>
      </w:r>
      <w:r w:rsidRPr="00AD6380">
        <w:t xml:space="preserve">: Dominates use cases like hydrological </w:t>
      </w:r>
      <w:proofErr w:type="spellStart"/>
      <w:r w:rsidRPr="00AD6380">
        <w:t>modeling</w:t>
      </w:r>
      <w:proofErr w:type="spellEnd"/>
      <w:r w:rsidRPr="00AD6380">
        <w:t>, land use planning, and soil erosion studies.</w:t>
      </w:r>
    </w:p>
    <w:p w14:paraId="525174DC" w14:textId="77777777" w:rsidR="00AD6380" w:rsidRPr="00AD6380" w:rsidRDefault="00AD6380" w:rsidP="00AD6380">
      <w:pPr>
        <w:numPr>
          <w:ilvl w:val="0"/>
          <w:numId w:val="2"/>
        </w:numPr>
      </w:pPr>
      <w:r w:rsidRPr="00AD6380">
        <w:rPr>
          <w:b/>
          <w:bCs/>
        </w:rPr>
        <w:t>Network &amp; Location Analytics</w:t>
      </w:r>
      <w:r w:rsidRPr="00AD6380">
        <w:t>: Essential for optimizing transportation networks, logistics, and utility operations.</w:t>
      </w:r>
    </w:p>
    <w:p w14:paraId="19FCFD1B" w14:textId="77777777" w:rsidR="00AD6380" w:rsidRPr="00AD6380" w:rsidRDefault="00AD6380" w:rsidP="00AD6380">
      <w:pPr>
        <w:numPr>
          <w:ilvl w:val="0"/>
          <w:numId w:val="2"/>
        </w:numPr>
      </w:pPr>
      <w:proofErr w:type="spellStart"/>
      <w:r w:rsidRPr="00AD6380">
        <w:rPr>
          <w:b/>
          <w:bCs/>
        </w:rPr>
        <w:t>Geovisualization</w:t>
      </w:r>
      <w:proofErr w:type="spellEnd"/>
      <w:r w:rsidRPr="00AD6380">
        <w:t>: 3D and immersive visualization tools are transforming how stakeholders interact with complex spatial datasets.</w:t>
      </w:r>
    </w:p>
    <w:p w14:paraId="1986BED7" w14:textId="77777777" w:rsidR="00AD6380" w:rsidRPr="00AD6380" w:rsidRDefault="00AD6380" w:rsidP="00AD6380">
      <w:pPr>
        <w:rPr>
          <w:b/>
          <w:bCs/>
        </w:rPr>
      </w:pPr>
      <w:r w:rsidRPr="00AD6380">
        <w:rPr>
          <w:b/>
          <w:bCs/>
        </w:rPr>
        <w:t>By Application</w:t>
      </w:r>
    </w:p>
    <w:p w14:paraId="61540343" w14:textId="77777777" w:rsidR="00AD6380" w:rsidRPr="00AD6380" w:rsidRDefault="00AD6380" w:rsidP="00AD6380">
      <w:pPr>
        <w:numPr>
          <w:ilvl w:val="0"/>
          <w:numId w:val="3"/>
        </w:numPr>
      </w:pPr>
      <w:r w:rsidRPr="00AD6380">
        <w:rPr>
          <w:b/>
          <w:bCs/>
        </w:rPr>
        <w:t>Surveying</w:t>
      </w:r>
      <w:r w:rsidRPr="00AD6380">
        <w:t>: Integral to construction, real estate, and agriculture, surveying remains the largest application segment.</w:t>
      </w:r>
    </w:p>
    <w:p w14:paraId="6F0E1447" w14:textId="77777777" w:rsidR="00AD6380" w:rsidRPr="00AD6380" w:rsidRDefault="00AD6380" w:rsidP="00AD6380">
      <w:pPr>
        <w:numPr>
          <w:ilvl w:val="0"/>
          <w:numId w:val="3"/>
        </w:numPr>
      </w:pPr>
      <w:r w:rsidRPr="00AD6380">
        <w:rPr>
          <w:b/>
          <w:bCs/>
        </w:rPr>
        <w:t>Disaster Risk Reduction &amp; Management</w:t>
      </w:r>
      <w:r w:rsidRPr="00AD6380">
        <w:t>: Real-time geospatial insights help anticipate, mitigate, and manage natural disasters.</w:t>
      </w:r>
    </w:p>
    <w:p w14:paraId="0A2CDA10" w14:textId="77777777" w:rsidR="00AD6380" w:rsidRPr="00AD6380" w:rsidRDefault="00AD6380" w:rsidP="00AD6380">
      <w:pPr>
        <w:numPr>
          <w:ilvl w:val="0"/>
          <w:numId w:val="3"/>
        </w:numPr>
      </w:pPr>
      <w:r w:rsidRPr="00AD6380">
        <w:rPr>
          <w:b/>
          <w:bCs/>
        </w:rPr>
        <w:t>Military Intelligence</w:t>
      </w:r>
      <w:r w:rsidRPr="00AD6380">
        <w:t xml:space="preserve">: High-resolution satellite imagery, drone surveillance, and location-based threat </w:t>
      </w:r>
      <w:proofErr w:type="spellStart"/>
      <w:r w:rsidRPr="00AD6380">
        <w:t>modeling</w:t>
      </w:r>
      <w:proofErr w:type="spellEnd"/>
      <w:r w:rsidRPr="00AD6380">
        <w:t xml:space="preserve"> are revolutionizing modern </w:t>
      </w:r>
      <w:proofErr w:type="spellStart"/>
      <w:r w:rsidRPr="00AD6380">
        <w:t>defense</w:t>
      </w:r>
      <w:proofErr w:type="spellEnd"/>
      <w:r w:rsidRPr="00AD6380">
        <w:t xml:space="preserve"> strategy.</w:t>
      </w:r>
    </w:p>
    <w:p w14:paraId="75B64B6F" w14:textId="77777777" w:rsidR="00AD6380" w:rsidRPr="00AD6380" w:rsidRDefault="00AD6380" w:rsidP="00AD6380">
      <w:pPr>
        <w:numPr>
          <w:ilvl w:val="0"/>
          <w:numId w:val="3"/>
        </w:numPr>
      </w:pPr>
      <w:r w:rsidRPr="00AD6380">
        <w:rPr>
          <w:b/>
          <w:bCs/>
        </w:rPr>
        <w:t>Urban Planning</w:t>
      </w:r>
      <w:r w:rsidRPr="00AD6380">
        <w:t>: Enables smart city development, zoning, and sustainable infrastructure.</w:t>
      </w:r>
    </w:p>
    <w:p w14:paraId="6D78E74B" w14:textId="77777777" w:rsidR="00AD6380" w:rsidRPr="00AD6380" w:rsidRDefault="00AD6380" w:rsidP="00AD6380">
      <w:pPr>
        <w:numPr>
          <w:ilvl w:val="0"/>
          <w:numId w:val="3"/>
        </w:numPr>
      </w:pPr>
      <w:r w:rsidRPr="00AD6380">
        <w:rPr>
          <w:b/>
          <w:bCs/>
        </w:rPr>
        <w:t>Climate Change Adaptation (CCA)</w:t>
      </w:r>
      <w:r w:rsidRPr="00AD6380">
        <w:t>: Monitors deforestation, glacial retreat, and sea-level rise for evidence-based policy formulation.</w:t>
      </w:r>
    </w:p>
    <w:p w14:paraId="524E1FC2" w14:textId="77777777" w:rsidR="00AD6380" w:rsidRPr="00AD6380" w:rsidRDefault="00AD6380" w:rsidP="00AD6380">
      <w:pPr>
        <w:numPr>
          <w:ilvl w:val="0"/>
          <w:numId w:val="3"/>
        </w:numPr>
      </w:pPr>
      <w:r w:rsidRPr="00AD6380">
        <w:rPr>
          <w:b/>
          <w:bCs/>
        </w:rPr>
        <w:t>Healthcare &amp; Public Safety</w:t>
      </w:r>
      <w:r w:rsidRPr="00AD6380">
        <w:t>: Tracks disease outbreaks, optimizes ambulance routing, and enhances emergency preparedness.</w:t>
      </w:r>
    </w:p>
    <w:p w14:paraId="1A252487" w14:textId="77777777" w:rsidR="00AD6380" w:rsidRPr="00AD6380" w:rsidRDefault="00AD6380" w:rsidP="00AD6380">
      <w:pPr>
        <w:rPr>
          <w:b/>
          <w:bCs/>
        </w:rPr>
      </w:pPr>
      <w:r w:rsidRPr="00AD6380">
        <w:rPr>
          <w:b/>
          <w:bCs/>
        </w:rPr>
        <w:t>By Vertical</w:t>
      </w:r>
    </w:p>
    <w:p w14:paraId="1DF71AB9" w14:textId="77777777" w:rsidR="00AD6380" w:rsidRPr="00AD6380" w:rsidRDefault="00AD6380" w:rsidP="00AD6380">
      <w:pPr>
        <w:numPr>
          <w:ilvl w:val="0"/>
          <w:numId w:val="4"/>
        </w:numPr>
      </w:pPr>
      <w:r w:rsidRPr="00AD6380">
        <w:rPr>
          <w:b/>
          <w:bCs/>
        </w:rPr>
        <w:lastRenderedPageBreak/>
        <w:t xml:space="preserve">Government &amp; </w:t>
      </w:r>
      <w:proofErr w:type="spellStart"/>
      <w:r w:rsidRPr="00AD6380">
        <w:rPr>
          <w:b/>
          <w:bCs/>
        </w:rPr>
        <w:t>Defense</w:t>
      </w:r>
      <w:proofErr w:type="spellEnd"/>
      <w:r w:rsidRPr="00AD6380">
        <w:t>: Largest adopters of GIS and remote sensing tools for intelligence, planning, and public safety.</w:t>
      </w:r>
    </w:p>
    <w:p w14:paraId="2BC8F038" w14:textId="77777777" w:rsidR="00AD6380" w:rsidRPr="00AD6380" w:rsidRDefault="00AD6380" w:rsidP="00AD6380">
      <w:pPr>
        <w:numPr>
          <w:ilvl w:val="0"/>
          <w:numId w:val="4"/>
        </w:numPr>
      </w:pPr>
      <w:r w:rsidRPr="00AD6380">
        <w:rPr>
          <w:b/>
          <w:bCs/>
        </w:rPr>
        <w:t>Energy &amp; Utilities</w:t>
      </w:r>
      <w:r w:rsidRPr="00AD6380">
        <w:t>: Uses spatial analytics for asset monitoring, fault detection, and grid optimization.</w:t>
      </w:r>
    </w:p>
    <w:p w14:paraId="56B452FC" w14:textId="77777777" w:rsidR="00AD6380" w:rsidRPr="00AD6380" w:rsidRDefault="00AD6380" w:rsidP="00AD6380">
      <w:pPr>
        <w:numPr>
          <w:ilvl w:val="0"/>
          <w:numId w:val="4"/>
        </w:numPr>
      </w:pPr>
      <w:r w:rsidRPr="00AD6380">
        <w:rPr>
          <w:b/>
          <w:bCs/>
        </w:rPr>
        <w:t>Agriculture</w:t>
      </w:r>
      <w:r w:rsidRPr="00AD6380">
        <w:t>: Precision agriculture leverages geospatial data for yield prediction, soil health analysis, and crop monitoring.</w:t>
      </w:r>
    </w:p>
    <w:p w14:paraId="5EE061B1" w14:textId="77777777" w:rsidR="00AD6380" w:rsidRPr="00AD6380" w:rsidRDefault="00AD6380" w:rsidP="00AD6380">
      <w:pPr>
        <w:numPr>
          <w:ilvl w:val="0"/>
          <w:numId w:val="4"/>
        </w:numPr>
      </w:pPr>
      <w:r w:rsidRPr="00AD6380">
        <w:rPr>
          <w:b/>
          <w:bCs/>
        </w:rPr>
        <w:t>Real Estate &amp; Construction</w:t>
      </w:r>
      <w:r w:rsidRPr="00AD6380">
        <w:t>: Site suitability analysis, infrastructure development, and zoning compliance.</w:t>
      </w:r>
    </w:p>
    <w:p w14:paraId="61109C77" w14:textId="77777777" w:rsidR="00AD6380" w:rsidRPr="00AD6380" w:rsidRDefault="00AD6380" w:rsidP="00AD6380">
      <w:pPr>
        <w:numPr>
          <w:ilvl w:val="0"/>
          <w:numId w:val="4"/>
        </w:numPr>
      </w:pPr>
      <w:r w:rsidRPr="00AD6380">
        <w:rPr>
          <w:b/>
          <w:bCs/>
        </w:rPr>
        <w:t>BFSI</w:t>
      </w:r>
      <w:r w:rsidRPr="00AD6380">
        <w:t xml:space="preserve">: Risk assessment and fraud detection via location-based </w:t>
      </w:r>
      <w:proofErr w:type="spellStart"/>
      <w:r w:rsidRPr="00AD6380">
        <w:t>behavioral</w:t>
      </w:r>
      <w:proofErr w:type="spellEnd"/>
      <w:r w:rsidRPr="00AD6380">
        <w:t xml:space="preserve"> analytics.</w:t>
      </w:r>
    </w:p>
    <w:p w14:paraId="554F60EA" w14:textId="77777777" w:rsidR="00AD6380" w:rsidRPr="00AD6380" w:rsidRDefault="00AD6380" w:rsidP="00AD6380">
      <w:pPr>
        <w:numPr>
          <w:ilvl w:val="0"/>
          <w:numId w:val="4"/>
        </w:numPr>
      </w:pPr>
      <w:r w:rsidRPr="00AD6380">
        <w:rPr>
          <w:b/>
          <w:bCs/>
        </w:rPr>
        <w:t>Healthcare, Mining, Automotive &amp; Transportation</w:t>
      </w:r>
      <w:r w:rsidRPr="00AD6380">
        <w:t>: Emerging verticals with accelerating adoption due to the benefits of spatial intelligence.</w:t>
      </w:r>
    </w:p>
    <w:p w14:paraId="6145C91F" w14:textId="70940581" w:rsidR="00AD6380" w:rsidRPr="00AD6380" w:rsidRDefault="00AD6380" w:rsidP="00AD6380"/>
    <w:p w14:paraId="4D419B7A" w14:textId="7AF7D1F3" w:rsidR="00AD6380" w:rsidRPr="00AD6380" w:rsidRDefault="00AD6380" w:rsidP="00AD6380">
      <w:pPr>
        <w:rPr>
          <w:b/>
          <w:bCs/>
        </w:rPr>
      </w:pPr>
      <w:r w:rsidRPr="00AD6380">
        <w:rPr>
          <w:b/>
          <w:bCs/>
        </w:rPr>
        <w:t>Regional Geospatial Analytics Market</w:t>
      </w:r>
      <w:r>
        <w:rPr>
          <w:b/>
          <w:bCs/>
        </w:rPr>
        <w:t xml:space="preserve"> </w:t>
      </w:r>
      <w:r w:rsidRPr="00AD6380">
        <w:rPr>
          <w:b/>
          <w:bCs/>
        </w:rPr>
        <w:t>Dynamics</w:t>
      </w:r>
    </w:p>
    <w:p w14:paraId="68F682C4" w14:textId="77777777" w:rsidR="00AD6380" w:rsidRPr="00AD6380" w:rsidRDefault="00AD6380" w:rsidP="00AD6380">
      <w:pPr>
        <w:rPr>
          <w:b/>
          <w:bCs/>
        </w:rPr>
      </w:pPr>
      <w:r w:rsidRPr="00AD6380">
        <w:rPr>
          <w:b/>
          <w:bCs/>
        </w:rPr>
        <w:t>North America</w:t>
      </w:r>
    </w:p>
    <w:p w14:paraId="5403852D" w14:textId="77777777" w:rsidR="00AD6380" w:rsidRPr="00AD6380" w:rsidRDefault="00AD6380" w:rsidP="00AD6380">
      <w:r w:rsidRPr="00AD6380">
        <w:rPr>
          <w:b/>
          <w:bCs/>
        </w:rPr>
        <w:t>North America</w:t>
      </w:r>
      <w:r w:rsidRPr="00AD6380">
        <w:t xml:space="preserve"> continues to dominate the global geospatial analytics market, led by strong adoption across federal and state government agencies, </w:t>
      </w:r>
      <w:proofErr w:type="spellStart"/>
      <w:r w:rsidRPr="00AD6380">
        <w:t>defense</w:t>
      </w:r>
      <w:proofErr w:type="spellEnd"/>
      <w:r w:rsidRPr="00AD6380">
        <w:t xml:space="preserve"> operations, and private enterprises. The region's advanced IT infrastructure and significant investment in smart city technologies are key growth drivers.</w:t>
      </w:r>
    </w:p>
    <w:p w14:paraId="2618DF5F" w14:textId="77777777" w:rsidR="00AD6380" w:rsidRPr="00AD6380" w:rsidRDefault="00AD6380" w:rsidP="00AD6380">
      <w:pPr>
        <w:rPr>
          <w:b/>
          <w:bCs/>
        </w:rPr>
      </w:pPr>
      <w:r w:rsidRPr="00AD6380">
        <w:rPr>
          <w:b/>
          <w:bCs/>
        </w:rPr>
        <w:t>Europe</w:t>
      </w:r>
    </w:p>
    <w:p w14:paraId="233E190E" w14:textId="77777777" w:rsidR="00AD6380" w:rsidRPr="00AD6380" w:rsidRDefault="00AD6380" w:rsidP="00AD6380">
      <w:r w:rsidRPr="00AD6380">
        <w:rPr>
          <w:b/>
          <w:bCs/>
        </w:rPr>
        <w:t>Europe</w:t>
      </w:r>
      <w:r w:rsidRPr="00AD6380">
        <w:t xml:space="preserve"> is rapidly expanding its geospatial capabilities, particularly in environmental monitoring, urban resilience, and cross-border security. The EU’s INSPIRE directive ensures a harmonized spatial data infrastructure, fostering market growth.</w:t>
      </w:r>
    </w:p>
    <w:p w14:paraId="2053E3E3" w14:textId="77777777" w:rsidR="00AD6380" w:rsidRPr="00AD6380" w:rsidRDefault="00AD6380" w:rsidP="00AD6380">
      <w:pPr>
        <w:rPr>
          <w:b/>
          <w:bCs/>
        </w:rPr>
      </w:pPr>
      <w:r w:rsidRPr="00AD6380">
        <w:rPr>
          <w:b/>
          <w:bCs/>
        </w:rPr>
        <w:t>Asia-Pacific</w:t>
      </w:r>
    </w:p>
    <w:p w14:paraId="4D5A3EFA" w14:textId="77777777" w:rsidR="00AD6380" w:rsidRPr="00AD6380" w:rsidRDefault="00AD6380" w:rsidP="00AD6380">
      <w:r w:rsidRPr="00AD6380">
        <w:t xml:space="preserve">The </w:t>
      </w:r>
      <w:r w:rsidRPr="00AD6380">
        <w:rPr>
          <w:b/>
          <w:bCs/>
        </w:rPr>
        <w:t>Asia-Pacific</w:t>
      </w:r>
      <w:r w:rsidRPr="00AD6380">
        <w:t xml:space="preserve"> market is set to exhibit the fastest growth. Countries like China, India, and Japan are investing heavily in satellite technologies, digital agriculture, and urban modernization.</w:t>
      </w:r>
    </w:p>
    <w:p w14:paraId="1A2EC98D" w14:textId="77777777" w:rsidR="00AD6380" w:rsidRPr="00AD6380" w:rsidRDefault="00AD6380" w:rsidP="00AD6380">
      <w:pPr>
        <w:rPr>
          <w:b/>
          <w:bCs/>
        </w:rPr>
      </w:pPr>
      <w:r w:rsidRPr="00AD6380">
        <w:rPr>
          <w:b/>
          <w:bCs/>
        </w:rPr>
        <w:t>Middle East &amp; Africa</w:t>
      </w:r>
    </w:p>
    <w:p w14:paraId="0FF6D9B4" w14:textId="77777777" w:rsidR="00AD6380" w:rsidRPr="00AD6380" w:rsidRDefault="00AD6380" w:rsidP="00AD6380">
      <w:r w:rsidRPr="00AD6380">
        <w:t xml:space="preserve">Adoption is rising in sectors such as oil &amp; gas exploration, land management, and national </w:t>
      </w:r>
      <w:proofErr w:type="spellStart"/>
      <w:r w:rsidRPr="00AD6380">
        <w:t>defense</w:t>
      </w:r>
      <w:proofErr w:type="spellEnd"/>
      <w:r w:rsidRPr="00AD6380">
        <w:t>. Smart infrastructure development in the Gulf states further accelerates demand.</w:t>
      </w:r>
    </w:p>
    <w:p w14:paraId="0C0A79B4" w14:textId="77777777" w:rsidR="00AD6380" w:rsidRPr="00AD6380" w:rsidRDefault="00AD6380" w:rsidP="00AD6380">
      <w:pPr>
        <w:rPr>
          <w:b/>
          <w:bCs/>
        </w:rPr>
      </w:pPr>
      <w:r w:rsidRPr="00AD6380">
        <w:rPr>
          <w:b/>
          <w:bCs/>
        </w:rPr>
        <w:t>Latin America</w:t>
      </w:r>
    </w:p>
    <w:p w14:paraId="08EBA16C" w14:textId="77777777" w:rsidR="00AD6380" w:rsidRPr="00AD6380" w:rsidRDefault="00AD6380" w:rsidP="00AD6380">
      <w:r w:rsidRPr="00AD6380">
        <w:lastRenderedPageBreak/>
        <w:t xml:space="preserve">In </w:t>
      </w:r>
      <w:r w:rsidRPr="00AD6380">
        <w:rPr>
          <w:b/>
          <w:bCs/>
        </w:rPr>
        <w:t>South America</w:t>
      </w:r>
      <w:r w:rsidRPr="00AD6380">
        <w:t>, Brazil leads with investments in Amazon rainforest monitoring, agriculture digitization, and urban planning projects.</w:t>
      </w:r>
    </w:p>
    <w:p w14:paraId="529C5418" w14:textId="6BBA9932" w:rsidR="00AD6380" w:rsidRPr="00AD6380" w:rsidRDefault="00AD6380" w:rsidP="00AD6380"/>
    <w:p w14:paraId="52530ED5" w14:textId="77777777" w:rsidR="00AD6380" w:rsidRPr="00AD6380" w:rsidRDefault="00AD6380" w:rsidP="00AD6380">
      <w:pPr>
        <w:rPr>
          <w:b/>
          <w:bCs/>
        </w:rPr>
      </w:pPr>
      <w:r w:rsidRPr="00AD6380">
        <w:rPr>
          <w:b/>
          <w:bCs/>
        </w:rPr>
        <w:t>Competitive Landscape</w:t>
      </w:r>
    </w:p>
    <w:p w14:paraId="576CF3B8" w14:textId="77777777" w:rsidR="00AD6380" w:rsidRPr="00AD6380" w:rsidRDefault="00AD6380" w:rsidP="00AD6380">
      <w:r w:rsidRPr="00AD6380">
        <w:t>The global geospatial analytics ecosystem is composed of established technology leaders and innovative niche players. Key players include:</w:t>
      </w:r>
    </w:p>
    <w:p w14:paraId="09CEBABB" w14:textId="77777777" w:rsidR="00AD6380" w:rsidRPr="00AD6380" w:rsidRDefault="00AD6380" w:rsidP="00AD6380">
      <w:pPr>
        <w:numPr>
          <w:ilvl w:val="0"/>
          <w:numId w:val="5"/>
        </w:numPr>
      </w:pPr>
      <w:r w:rsidRPr="00AD6380">
        <w:rPr>
          <w:b/>
          <w:bCs/>
        </w:rPr>
        <w:t>Esri</w:t>
      </w:r>
      <w:r w:rsidRPr="00AD6380">
        <w:t xml:space="preserve"> – Dominates with its ArcGIS platform and extensive ecosystem.</w:t>
      </w:r>
    </w:p>
    <w:p w14:paraId="5ADE4617" w14:textId="77777777" w:rsidR="00AD6380" w:rsidRPr="00AD6380" w:rsidRDefault="00AD6380" w:rsidP="00AD6380">
      <w:pPr>
        <w:numPr>
          <w:ilvl w:val="0"/>
          <w:numId w:val="5"/>
        </w:numPr>
      </w:pPr>
      <w:r w:rsidRPr="00AD6380">
        <w:rPr>
          <w:b/>
          <w:bCs/>
        </w:rPr>
        <w:t>Hexagon AB</w:t>
      </w:r>
      <w:r w:rsidRPr="00AD6380">
        <w:t xml:space="preserve"> – Offers integrated solutions across surveying, agriculture, and transportation.</w:t>
      </w:r>
    </w:p>
    <w:p w14:paraId="1C33B600" w14:textId="77777777" w:rsidR="00AD6380" w:rsidRPr="00AD6380" w:rsidRDefault="00AD6380" w:rsidP="00AD6380">
      <w:pPr>
        <w:numPr>
          <w:ilvl w:val="0"/>
          <w:numId w:val="5"/>
        </w:numPr>
      </w:pPr>
      <w:r w:rsidRPr="00AD6380">
        <w:rPr>
          <w:b/>
          <w:bCs/>
        </w:rPr>
        <w:t>Alteryx, Inc.</w:t>
      </w:r>
      <w:r w:rsidRPr="00AD6380">
        <w:t xml:space="preserve"> – Specializes in spatial data preparation and predictive analytics.</w:t>
      </w:r>
    </w:p>
    <w:p w14:paraId="06D9E915" w14:textId="77777777" w:rsidR="00AD6380" w:rsidRPr="00AD6380" w:rsidRDefault="00AD6380" w:rsidP="00AD6380">
      <w:pPr>
        <w:numPr>
          <w:ilvl w:val="0"/>
          <w:numId w:val="5"/>
        </w:numPr>
      </w:pPr>
      <w:r w:rsidRPr="00AD6380">
        <w:rPr>
          <w:b/>
          <w:bCs/>
        </w:rPr>
        <w:t>Maxar Technologies</w:t>
      </w:r>
      <w:r w:rsidRPr="00AD6380">
        <w:t xml:space="preserve"> – A leader in satellite imagery and analytics.</w:t>
      </w:r>
    </w:p>
    <w:p w14:paraId="70CF7E40" w14:textId="77777777" w:rsidR="00AD6380" w:rsidRPr="00AD6380" w:rsidRDefault="00AD6380" w:rsidP="00AD6380">
      <w:pPr>
        <w:numPr>
          <w:ilvl w:val="0"/>
          <w:numId w:val="5"/>
        </w:numPr>
      </w:pPr>
      <w:r w:rsidRPr="00AD6380">
        <w:rPr>
          <w:b/>
          <w:bCs/>
        </w:rPr>
        <w:t>Google LLC</w:t>
      </w:r>
      <w:r w:rsidRPr="00AD6380">
        <w:t xml:space="preserve"> – Provides scalable geospatial services via Google Maps Platform and Earth Engine.</w:t>
      </w:r>
    </w:p>
    <w:p w14:paraId="632B6338" w14:textId="77777777" w:rsidR="00AD6380" w:rsidRPr="00AD6380" w:rsidRDefault="00AD6380" w:rsidP="00AD6380">
      <w:pPr>
        <w:numPr>
          <w:ilvl w:val="0"/>
          <w:numId w:val="5"/>
        </w:numPr>
      </w:pPr>
      <w:r w:rsidRPr="00AD6380">
        <w:rPr>
          <w:b/>
          <w:bCs/>
        </w:rPr>
        <w:t>Bentley Systems, SAP SE, Fugro N.V., General Electric, Harris Corporation</w:t>
      </w:r>
      <w:r w:rsidRPr="00AD6380">
        <w:t xml:space="preserve"> – Each contributing unique capabilities across sectors.</w:t>
      </w:r>
    </w:p>
    <w:p w14:paraId="128A52DC" w14:textId="77777777" w:rsidR="00AD6380" w:rsidRPr="00AD6380" w:rsidRDefault="00AD6380" w:rsidP="00AD6380">
      <w:r w:rsidRPr="00AD6380">
        <w:t>Strategic partnerships, mergers &amp; acquisitions, and continuous R&amp;D are shaping the competitive strategies in this market.</w:t>
      </w:r>
    </w:p>
    <w:p w14:paraId="5F996A88" w14:textId="47E3081A" w:rsidR="00AD6380" w:rsidRPr="00AD6380" w:rsidRDefault="00AD6380" w:rsidP="00AD6380"/>
    <w:p w14:paraId="1B98CE7B" w14:textId="408CB401" w:rsidR="00AD6380" w:rsidRPr="00AD6380" w:rsidRDefault="00AD6380" w:rsidP="00AD6380">
      <w:pPr>
        <w:rPr>
          <w:b/>
          <w:bCs/>
        </w:rPr>
      </w:pPr>
      <w:r w:rsidRPr="00AD6380">
        <w:rPr>
          <w:b/>
          <w:bCs/>
        </w:rPr>
        <w:t>Industry Trends Shaping the Geospatial Analytics Market</w:t>
      </w:r>
    </w:p>
    <w:p w14:paraId="50360DD0" w14:textId="77777777" w:rsidR="00AD6380" w:rsidRPr="00AD6380" w:rsidRDefault="00AD6380" w:rsidP="00AD6380">
      <w:pPr>
        <w:rPr>
          <w:b/>
          <w:bCs/>
        </w:rPr>
      </w:pPr>
      <w:r w:rsidRPr="00AD6380">
        <w:rPr>
          <w:b/>
          <w:bCs/>
        </w:rPr>
        <w:t>Integration with AI &amp; Machine Learning</w:t>
      </w:r>
    </w:p>
    <w:p w14:paraId="44BCC931" w14:textId="77777777" w:rsidR="00AD6380" w:rsidRPr="00AD6380" w:rsidRDefault="00AD6380" w:rsidP="00AD6380">
      <w:r w:rsidRPr="00AD6380">
        <w:t xml:space="preserve">Automated feature extraction from satellite imagery, predictive </w:t>
      </w:r>
      <w:proofErr w:type="spellStart"/>
      <w:r w:rsidRPr="00AD6380">
        <w:t>modeling</w:t>
      </w:r>
      <w:proofErr w:type="spellEnd"/>
      <w:r w:rsidRPr="00AD6380">
        <w:t>, and spatial clustering are being powered by AI/ML algorithms, offering real-time insights for faster decisions.</w:t>
      </w:r>
    </w:p>
    <w:p w14:paraId="197F3478" w14:textId="77777777" w:rsidR="00AD6380" w:rsidRPr="00AD6380" w:rsidRDefault="00AD6380" w:rsidP="00AD6380">
      <w:pPr>
        <w:rPr>
          <w:b/>
          <w:bCs/>
        </w:rPr>
      </w:pPr>
      <w:r w:rsidRPr="00AD6380">
        <w:rPr>
          <w:b/>
          <w:bCs/>
        </w:rPr>
        <w:t>Emergence of 4D GIS</w:t>
      </w:r>
    </w:p>
    <w:p w14:paraId="400CA700" w14:textId="77777777" w:rsidR="00AD6380" w:rsidRPr="00AD6380" w:rsidRDefault="00AD6380" w:rsidP="00AD6380">
      <w:r w:rsidRPr="00AD6380">
        <w:t>The integration of time as a fourth dimension is enabling temporal analysis of spatial data—critical for tracking changes in terrain, weather, and infrastructure development.</w:t>
      </w:r>
    </w:p>
    <w:p w14:paraId="406F88CF" w14:textId="77777777" w:rsidR="00AD6380" w:rsidRPr="00AD6380" w:rsidRDefault="00AD6380" w:rsidP="00AD6380">
      <w:pPr>
        <w:rPr>
          <w:b/>
          <w:bCs/>
        </w:rPr>
      </w:pPr>
      <w:r w:rsidRPr="00AD6380">
        <w:rPr>
          <w:b/>
          <w:bCs/>
        </w:rPr>
        <w:t>Democratization of Spatial Intelligence</w:t>
      </w:r>
    </w:p>
    <w:p w14:paraId="11E056ED" w14:textId="77777777" w:rsidR="00AD6380" w:rsidRPr="00AD6380" w:rsidRDefault="00AD6380" w:rsidP="00AD6380">
      <w:r w:rsidRPr="00AD6380">
        <w:t xml:space="preserve">Low-code platforms and user-friendly interfaces are empowering non-experts to access and </w:t>
      </w:r>
      <w:proofErr w:type="spellStart"/>
      <w:r w:rsidRPr="00AD6380">
        <w:t>analyze</w:t>
      </w:r>
      <w:proofErr w:type="spellEnd"/>
      <w:r w:rsidRPr="00AD6380">
        <w:t xml:space="preserve"> geospatial data, expanding market reach.</w:t>
      </w:r>
    </w:p>
    <w:p w14:paraId="667380E3" w14:textId="77777777" w:rsidR="00AD6380" w:rsidRPr="00AD6380" w:rsidRDefault="00AD6380" w:rsidP="00AD6380">
      <w:pPr>
        <w:rPr>
          <w:b/>
          <w:bCs/>
        </w:rPr>
      </w:pPr>
      <w:r w:rsidRPr="00AD6380">
        <w:rPr>
          <w:b/>
          <w:bCs/>
        </w:rPr>
        <w:t>Cloud-Native and Edge Geospatial Computing</w:t>
      </w:r>
    </w:p>
    <w:p w14:paraId="7824668B" w14:textId="77777777" w:rsidR="00AD6380" w:rsidRPr="00AD6380" w:rsidRDefault="00AD6380" w:rsidP="00AD6380">
      <w:r w:rsidRPr="00AD6380">
        <w:lastRenderedPageBreak/>
        <w:t>Cloud and edge solutions are enhancing processing speed, storage scalability, and system interoperability, allowing for seamless cross-platform spatial intelligence delivery.</w:t>
      </w:r>
    </w:p>
    <w:p w14:paraId="53AE116A" w14:textId="77777777" w:rsidR="00AD6380" w:rsidRPr="00135FF5" w:rsidRDefault="00AD6380" w:rsidP="00AD6380">
      <w:pPr>
        <w:rPr>
          <w:b/>
          <w:bCs/>
        </w:rPr>
      </w:pPr>
    </w:p>
    <w:p w14:paraId="57DEF7F5" w14:textId="77777777" w:rsidR="00AD6380" w:rsidRDefault="00AD6380" w:rsidP="00AD6380">
      <w:pPr>
        <w:rPr>
          <w:b/>
          <w:bCs/>
        </w:rPr>
      </w:pPr>
      <w:r w:rsidRPr="00135FF5">
        <w:rPr>
          <w:b/>
          <w:bCs/>
        </w:rPr>
        <w:t>Purchase Exclusive Report:</w:t>
      </w:r>
      <w:r w:rsidRPr="00AD6380">
        <w:t xml:space="preserve"> </w:t>
      </w:r>
      <w:hyperlink r:id="rId8" w:history="1">
        <w:r w:rsidRPr="00F14691">
          <w:rPr>
            <w:rStyle w:val="Hyperlink"/>
            <w:b/>
            <w:bCs/>
          </w:rPr>
          <w:t>https://www.statsandresearch.com/enquire-before/40286-global-geospatial-analytics-market</w:t>
        </w:r>
      </w:hyperlink>
    </w:p>
    <w:p w14:paraId="4F5F850F" w14:textId="4100745F" w:rsidR="00AD6380" w:rsidRPr="00AD6380" w:rsidRDefault="00AD6380" w:rsidP="00AD6380"/>
    <w:p w14:paraId="1E80668B" w14:textId="77777777" w:rsidR="00AD6380" w:rsidRPr="00AD6380" w:rsidRDefault="00AD6380" w:rsidP="00AD6380">
      <w:pPr>
        <w:rPr>
          <w:b/>
          <w:bCs/>
        </w:rPr>
      </w:pPr>
      <w:r w:rsidRPr="00AD6380">
        <w:rPr>
          <w:b/>
          <w:bCs/>
        </w:rPr>
        <w:t>Conclusion</w:t>
      </w:r>
    </w:p>
    <w:p w14:paraId="3EEAB105" w14:textId="77777777" w:rsidR="00AD6380" w:rsidRPr="00AD6380" w:rsidRDefault="00AD6380" w:rsidP="00AD6380">
      <w:r w:rsidRPr="00AD6380">
        <w:t xml:space="preserve">Geospatial analytics is no longer a niche capability—it is a strategic imperative across industries. As businesses and governments continue to embrace data-driven strategies, the demand for real-time spatial intelligence will grow exponentially. From </w:t>
      </w:r>
      <w:proofErr w:type="spellStart"/>
      <w:r w:rsidRPr="00AD6380">
        <w:t>defense</w:t>
      </w:r>
      <w:proofErr w:type="spellEnd"/>
      <w:r w:rsidRPr="00AD6380">
        <w:t xml:space="preserve"> to disaster management, from agriculture to autonomous vehicles, the integration of geospatial analytics into digital ecosystems is reshaping the global landscape.</w:t>
      </w:r>
    </w:p>
    <w:p w14:paraId="4C95F471" w14:textId="77777777" w:rsidR="00AD6380" w:rsidRPr="00AD6380" w:rsidRDefault="00AD6380" w:rsidP="00AD6380">
      <w:r w:rsidRPr="00AD6380">
        <w:t>To lead in this transformative space, enterprises must invest in cutting-edge technologies, foster geospatial literacy, and collaborate with key stakeholders across the data value chain.</w:t>
      </w:r>
    </w:p>
    <w:p w14:paraId="18CD71FE" w14:textId="1B82DDD7" w:rsidR="00AD6380" w:rsidRPr="00AD6380" w:rsidRDefault="00AD6380" w:rsidP="00AD6380">
      <w:r w:rsidRPr="00AD6380">
        <w:t>For stakeholders aiming to future-proof operations, tap into new revenue streams, and ensure spatially-informed decision-making, the time to act is now.</w:t>
      </w:r>
    </w:p>
    <w:p w14:paraId="5F2B5167" w14:textId="77777777" w:rsidR="00AD6380" w:rsidRPr="000B2E6C" w:rsidRDefault="00AD6380" w:rsidP="00AD6380">
      <w:pPr>
        <w:rPr>
          <w:b/>
          <w:bCs/>
        </w:rPr>
      </w:pPr>
    </w:p>
    <w:p w14:paraId="7D7782B1" w14:textId="77777777" w:rsidR="00AD6380" w:rsidRPr="000B2E6C" w:rsidRDefault="00AD6380" w:rsidP="00AD6380">
      <w:pPr>
        <w:rPr>
          <w:b/>
          <w:bCs/>
        </w:rPr>
      </w:pPr>
      <w:r w:rsidRPr="000B2E6C">
        <w:rPr>
          <w:b/>
          <w:bCs/>
        </w:rPr>
        <w:t>Our Services:</w:t>
      </w:r>
    </w:p>
    <w:p w14:paraId="6CDDAC92" w14:textId="77777777" w:rsidR="00AD6380" w:rsidRPr="000B2E6C" w:rsidRDefault="00AD6380" w:rsidP="00AD6380">
      <w:pPr>
        <w:rPr>
          <w:b/>
          <w:bCs/>
        </w:rPr>
      </w:pPr>
      <w:r w:rsidRPr="000B2E6C">
        <w:rPr>
          <w:b/>
          <w:bCs/>
        </w:rPr>
        <w:t xml:space="preserve">On-Demand Reports: </w:t>
      </w:r>
      <w:hyperlink r:id="rId9" w:history="1">
        <w:r w:rsidRPr="000B2E6C">
          <w:rPr>
            <w:rStyle w:val="Hyperlink"/>
            <w:b/>
            <w:bCs/>
          </w:rPr>
          <w:t>https://www.statsandresearch.com/on-demand-reports</w:t>
        </w:r>
      </w:hyperlink>
    </w:p>
    <w:p w14:paraId="0F324904" w14:textId="77777777" w:rsidR="00AD6380" w:rsidRPr="000B2E6C" w:rsidRDefault="00AD6380" w:rsidP="00AD6380">
      <w:pPr>
        <w:rPr>
          <w:b/>
          <w:bCs/>
        </w:rPr>
      </w:pPr>
      <w:r w:rsidRPr="000B2E6C">
        <w:rPr>
          <w:b/>
          <w:bCs/>
        </w:rPr>
        <w:t xml:space="preserve">Subscription Plans: </w:t>
      </w:r>
      <w:hyperlink r:id="rId10" w:history="1">
        <w:r w:rsidRPr="000B2E6C">
          <w:rPr>
            <w:rStyle w:val="Hyperlink"/>
            <w:b/>
            <w:bCs/>
          </w:rPr>
          <w:t>https://www.statsandresearch.com/subscription-plans</w:t>
        </w:r>
      </w:hyperlink>
    </w:p>
    <w:p w14:paraId="1727C831" w14:textId="77777777" w:rsidR="00AD6380" w:rsidRPr="000B2E6C" w:rsidRDefault="00AD6380" w:rsidP="00AD6380">
      <w:pPr>
        <w:rPr>
          <w:b/>
          <w:bCs/>
        </w:rPr>
      </w:pPr>
      <w:r w:rsidRPr="000B2E6C">
        <w:rPr>
          <w:b/>
          <w:bCs/>
        </w:rPr>
        <w:t xml:space="preserve">Consulting Services: </w:t>
      </w:r>
      <w:hyperlink r:id="rId11" w:history="1">
        <w:r w:rsidRPr="000B2E6C">
          <w:rPr>
            <w:rStyle w:val="Hyperlink"/>
            <w:b/>
            <w:bCs/>
          </w:rPr>
          <w:t>https://www.statsandresearch.com/consulting-services</w:t>
        </w:r>
      </w:hyperlink>
    </w:p>
    <w:p w14:paraId="6C37B9F1" w14:textId="77777777" w:rsidR="00AD6380" w:rsidRPr="000B2E6C" w:rsidRDefault="00AD6380" w:rsidP="00AD6380">
      <w:pPr>
        <w:rPr>
          <w:b/>
          <w:bCs/>
        </w:rPr>
      </w:pPr>
      <w:r w:rsidRPr="000B2E6C">
        <w:rPr>
          <w:b/>
          <w:bCs/>
        </w:rPr>
        <w:t xml:space="preserve">ESG Solutions: </w:t>
      </w:r>
      <w:hyperlink r:id="rId12" w:history="1">
        <w:r w:rsidRPr="000B2E6C">
          <w:rPr>
            <w:rStyle w:val="Hyperlink"/>
            <w:b/>
            <w:bCs/>
          </w:rPr>
          <w:t>https://www.statsandresearch.com/esg-solutions</w:t>
        </w:r>
      </w:hyperlink>
    </w:p>
    <w:p w14:paraId="30E550F5" w14:textId="77777777" w:rsidR="00AD6380" w:rsidRPr="00135FF5" w:rsidRDefault="00AD6380" w:rsidP="00AD6380">
      <w:pPr>
        <w:rPr>
          <w:b/>
          <w:bCs/>
        </w:rPr>
      </w:pPr>
    </w:p>
    <w:p w14:paraId="685F8AF6" w14:textId="77777777" w:rsidR="00AD6380" w:rsidRPr="00135FF5" w:rsidRDefault="00AD6380" w:rsidP="00AD6380">
      <w:pPr>
        <w:rPr>
          <w:b/>
          <w:bCs/>
        </w:rPr>
      </w:pPr>
      <w:r w:rsidRPr="00135FF5">
        <w:rPr>
          <w:b/>
          <w:bCs/>
        </w:rPr>
        <w:t>Contact Us</w:t>
      </w:r>
      <w:r>
        <w:rPr>
          <w:b/>
          <w:bCs/>
        </w:rPr>
        <w:t>:</w:t>
      </w:r>
    </w:p>
    <w:p w14:paraId="3462F5E8" w14:textId="77777777" w:rsidR="00AD6380" w:rsidRPr="00135FF5" w:rsidRDefault="00AD6380" w:rsidP="00AD6380">
      <w:pPr>
        <w:rPr>
          <w:b/>
          <w:bCs/>
        </w:rPr>
      </w:pPr>
      <w:r w:rsidRPr="00135FF5">
        <w:rPr>
          <w:b/>
          <w:bCs/>
        </w:rPr>
        <w:t>Stats and Research</w:t>
      </w:r>
    </w:p>
    <w:p w14:paraId="53808665" w14:textId="77777777" w:rsidR="00AD6380" w:rsidRDefault="00AD6380" w:rsidP="00AD6380">
      <w:pPr>
        <w:rPr>
          <w:b/>
          <w:bCs/>
        </w:rPr>
      </w:pPr>
      <w:r w:rsidRPr="00135FF5">
        <w:rPr>
          <w:b/>
          <w:bCs/>
        </w:rPr>
        <w:t xml:space="preserve">Email: </w:t>
      </w:r>
      <w:hyperlink r:id="rId13" w:history="1">
        <w:r w:rsidRPr="00451DEC">
          <w:rPr>
            <w:rStyle w:val="Hyperlink"/>
            <w:b/>
            <w:bCs/>
          </w:rPr>
          <w:t>sales@statsandresearch.com</w:t>
        </w:r>
      </w:hyperlink>
    </w:p>
    <w:p w14:paraId="04B0A49D" w14:textId="77777777" w:rsidR="00AD6380" w:rsidRPr="00135FF5" w:rsidRDefault="00AD6380" w:rsidP="00AD6380">
      <w:pPr>
        <w:rPr>
          <w:b/>
          <w:bCs/>
        </w:rPr>
      </w:pPr>
      <w:r w:rsidRPr="00135FF5">
        <w:rPr>
          <w:b/>
          <w:bCs/>
        </w:rPr>
        <w:t>Phone: +91 8530698844</w:t>
      </w:r>
    </w:p>
    <w:p w14:paraId="07A7DF4C" w14:textId="77777777" w:rsidR="00AD6380" w:rsidRDefault="00AD6380" w:rsidP="00AD6380">
      <w:r w:rsidRPr="00135FF5">
        <w:rPr>
          <w:b/>
          <w:bCs/>
        </w:rPr>
        <w:t xml:space="preserve">Website: </w:t>
      </w:r>
      <w:hyperlink r:id="rId14" w:history="1">
        <w:r w:rsidRPr="00451DEC">
          <w:rPr>
            <w:rStyle w:val="Hyperlink"/>
            <w:b/>
            <w:bCs/>
          </w:rPr>
          <w:t>https://www.statsandresearch.com</w:t>
        </w:r>
      </w:hyperlink>
    </w:p>
    <w:p w14:paraId="4B33A89F" w14:textId="77777777" w:rsidR="002D6CAE" w:rsidRDefault="002D6CAE"/>
    <w:sectPr w:rsidR="002D6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9294B"/>
    <w:multiLevelType w:val="multilevel"/>
    <w:tmpl w:val="BBB4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6F4220"/>
    <w:multiLevelType w:val="multilevel"/>
    <w:tmpl w:val="13E8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2175E2"/>
    <w:multiLevelType w:val="multilevel"/>
    <w:tmpl w:val="6C44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930A1"/>
    <w:multiLevelType w:val="multilevel"/>
    <w:tmpl w:val="B3F2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B9095E"/>
    <w:multiLevelType w:val="multilevel"/>
    <w:tmpl w:val="28D0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343115">
    <w:abstractNumId w:val="4"/>
  </w:num>
  <w:num w:numId="2" w16cid:durableId="1611156610">
    <w:abstractNumId w:val="0"/>
  </w:num>
  <w:num w:numId="3" w16cid:durableId="812020459">
    <w:abstractNumId w:val="1"/>
  </w:num>
  <w:num w:numId="4" w16cid:durableId="265701269">
    <w:abstractNumId w:val="3"/>
  </w:num>
  <w:num w:numId="5" w16cid:durableId="495649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80"/>
    <w:rsid w:val="002D6CAE"/>
    <w:rsid w:val="00335BFA"/>
    <w:rsid w:val="00582A2F"/>
    <w:rsid w:val="00AD6380"/>
    <w:rsid w:val="00D8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9AE4"/>
  <w15:chartTrackingRefBased/>
  <w15:docId w15:val="{38152F31-3B6E-F04D-A36B-A8E79A10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3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3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3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3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3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3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3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3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3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63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5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92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62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12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87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70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72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97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749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258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1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3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4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0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69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26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145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88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289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48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801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6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1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2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39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9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56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173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14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73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12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605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798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sandresearch.com/enquire-before/40286-global-geospatial-analytics-market" TargetMode="External"/><Relationship Id="rId13" Type="http://schemas.openxmlformats.org/officeDocument/2006/relationships/hyperlink" Target="mailto:sales@statsandresearch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atsandresearch.com/check-discount/40286-global-geospatial-analytics-market" TargetMode="External"/><Relationship Id="rId12" Type="http://schemas.openxmlformats.org/officeDocument/2006/relationships/hyperlink" Target="https://www.statsandresearch.com/esg-solution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tatsandresearch.com/request-sample/40286-global-geospatial-analytics-market" TargetMode="External"/><Relationship Id="rId11" Type="http://schemas.openxmlformats.org/officeDocument/2006/relationships/hyperlink" Target="https://www.statsandresearch.com/consulting-services" TargetMode="External"/><Relationship Id="rId5" Type="http://schemas.openxmlformats.org/officeDocument/2006/relationships/hyperlink" Target="https://www.statsandresearch.com/report/40286-global-geospatial-analytics-marke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tatsandresearch.com/subscription-pla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atsandresearch.com/on-demand-reports" TargetMode="External"/><Relationship Id="rId14" Type="http://schemas.openxmlformats.org/officeDocument/2006/relationships/hyperlink" Target="https://www.statsandresearc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1418</Words>
  <Characters>8085</Characters>
  <Application>Microsoft Office Word</Application>
  <DocSecurity>0</DocSecurity>
  <Lines>67</Lines>
  <Paragraphs>18</Paragraphs>
  <ScaleCrop>false</ScaleCrop>
  <Company/>
  <LinksUpToDate>false</LinksUpToDate>
  <CharactersWithSpaces>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GauriShankar Khasage</dc:creator>
  <cp:keywords/>
  <dc:description/>
  <cp:lastModifiedBy>GauriShankar Khasage</cp:lastModifiedBy>
  <cp:revision>1</cp:revision>
  <dcterms:created xsi:type="dcterms:W3CDTF">2025-06-02T05:33:00Z</dcterms:created>
  <dcterms:modified xsi:type="dcterms:W3CDTF">2025-06-02T05:37:00Z</dcterms:modified>
</cp:coreProperties>
</file>