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B116" w14:textId="77777777" w:rsidR="005816B5" w:rsidRDefault="00000000">
      <w:pPr>
        <w:spacing w:before="200" w:after="80"/>
        <w:jc w:val="center"/>
      </w:pPr>
      <w:r>
        <w:rPr>
          <w:b/>
          <w:color w:val="1F4E79"/>
          <w:sz w:val="44"/>
        </w:rPr>
        <w:t>HEALTHCARE PREDICTIVE ANALYTICS:</w:t>
      </w:r>
      <w:r>
        <w:rPr>
          <w:b/>
          <w:color w:val="1F4E79"/>
          <w:sz w:val="44"/>
        </w:rPr>
        <w:br/>
        <w:t>PATIENT READMISSION RISK PREDICTION</w:t>
      </w:r>
    </w:p>
    <w:p w14:paraId="4E8967D1" w14:textId="77777777" w:rsidR="005816B5" w:rsidRDefault="00000000">
      <w:pPr>
        <w:spacing w:after="400"/>
        <w:jc w:val="center"/>
      </w:pPr>
      <w:r>
        <w:rPr>
          <w:i/>
          <w:color w:val="595959"/>
          <w:sz w:val="26"/>
        </w:rPr>
        <w:t>IBM SkillsBuild Data Analytics with AI Academic Internship Project Report</w:t>
      </w:r>
    </w:p>
    <w:tbl>
      <w:tblPr>
        <w:tblW w:w="0" w:type="auto"/>
        <w:jc w:val="center"/>
        <w:tblLayout w:type="fixed"/>
        <w:tblLook w:val="04A0" w:firstRow="1" w:lastRow="0" w:firstColumn="1" w:lastColumn="0" w:noHBand="0" w:noVBand="1"/>
      </w:tblPr>
      <w:tblGrid>
        <w:gridCol w:w="4608"/>
        <w:gridCol w:w="4608"/>
      </w:tblGrid>
      <w:tr w:rsidR="005816B5" w14:paraId="7D4FD3F3" w14:textId="77777777">
        <w:trPr>
          <w:cantSplit/>
          <w:jc w:val="center"/>
        </w:trPr>
        <w:tc>
          <w:tcPr>
            <w:tcW w:w="4608" w:type="dxa"/>
            <w:shd w:val="clear" w:color="auto" w:fill="F2F4F7"/>
          </w:tcPr>
          <w:p w14:paraId="08609A11" w14:textId="77777777" w:rsidR="005816B5" w:rsidRPr="000D5134" w:rsidRDefault="00000000">
            <w:pPr>
              <w:spacing w:before="80" w:after="80"/>
              <w:rPr>
                <w:szCs w:val="28"/>
              </w:rPr>
            </w:pPr>
            <w:r w:rsidRPr="000D5134">
              <w:rPr>
                <w:b/>
                <w:color w:val="1F4E79"/>
                <w:szCs w:val="28"/>
              </w:rPr>
              <w:t xml:space="preserve">Student Name: </w:t>
            </w:r>
            <w:r w:rsidRPr="000D5134">
              <w:rPr>
                <w:szCs w:val="28"/>
              </w:rPr>
              <w:t>Gurucharan Kapale</w:t>
            </w:r>
          </w:p>
        </w:tc>
        <w:tc>
          <w:tcPr>
            <w:tcW w:w="4608" w:type="dxa"/>
            <w:shd w:val="clear" w:color="auto" w:fill="F2F4F7"/>
          </w:tcPr>
          <w:p w14:paraId="7D03292E" w14:textId="77777777" w:rsidR="005816B5" w:rsidRPr="000D5134" w:rsidRDefault="00000000">
            <w:pPr>
              <w:spacing w:before="80" w:after="80"/>
              <w:rPr>
                <w:szCs w:val="28"/>
              </w:rPr>
            </w:pPr>
            <w:r w:rsidRPr="000D5134">
              <w:rPr>
                <w:b/>
                <w:color w:val="1F4E79"/>
                <w:szCs w:val="28"/>
              </w:rPr>
              <w:t xml:space="preserve">Email: </w:t>
            </w:r>
            <w:r w:rsidRPr="000D5134">
              <w:rPr>
                <w:szCs w:val="28"/>
              </w:rPr>
              <w:t>gurucharankapale@gmail.com</w:t>
            </w:r>
          </w:p>
        </w:tc>
      </w:tr>
      <w:tr w:rsidR="005816B5" w14:paraId="2A94422E" w14:textId="77777777">
        <w:trPr>
          <w:cantSplit/>
          <w:jc w:val="center"/>
        </w:trPr>
        <w:tc>
          <w:tcPr>
            <w:tcW w:w="4608" w:type="dxa"/>
            <w:shd w:val="clear" w:color="auto" w:fill="F2F4F7"/>
          </w:tcPr>
          <w:p w14:paraId="7A83166C" w14:textId="77777777" w:rsidR="005816B5" w:rsidRPr="000D5134" w:rsidRDefault="00000000">
            <w:pPr>
              <w:spacing w:before="80" w:after="80"/>
              <w:rPr>
                <w:szCs w:val="28"/>
              </w:rPr>
            </w:pPr>
            <w:r w:rsidRPr="000D5134">
              <w:rPr>
                <w:b/>
                <w:color w:val="1F4E79"/>
                <w:szCs w:val="28"/>
              </w:rPr>
              <w:t xml:space="preserve">Program: </w:t>
            </w:r>
            <w:r w:rsidRPr="000D5134">
              <w:rPr>
                <w:szCs w:val="28"/>
              </w:rPr>
              <w:t>IBM SkillsBuild Data Analytics with AI</w:t>
            </w:r>
          </w:p>
        </w:tc>
        <w:tc>
          <w:tcPr>
            <w:tcW w:w="4608" w:type="dxa"/>
            <w:shd w:val="clear" w:color="auto" w:fill="F2F4F7"/>
          </w:tcPr>
          <w:p w14:paraId="120024E6" w14:textId="77777777" w:rsidR="005816B5" w:rsidRPr="000D5134" w:rsidRDefault="00000000">
            <w:pPr>
              <w:spacing w:before="80" w:after="80"/>
              <w:rPr>
                <w:szCs w:val="28"/>
              </w:rPr>
            </w:pPr>
            <w:r w:rsidRPr="000D5134">
              <w:rPr>
                <w:b/>
                <w:color w:val="1F4E79"/>
                <w:szCs w:val="28"/>
              </w:rPr>
              <w:t xml:space="preserve">Organization: </w:t>
            </w:r>
            <w:r w:rsidRPr="000D5134">
              <w:rPr>
                <w:szCs w:val="28"/>
              </w:rPr>
              <w:t>AICTE | BharatCares</w:t>
            </w:r>
          </w:p>
        </w:tc>
      </w:tr>
    </w:tbl>
    <w:p w14:paraId="14BBA226" w14:textId="77777777" w:rsidR="005816B5" w:rsidRDefault="005816B5"/>
    <w:p w14:paraId="7D48518F" w14:textId="77777777" w:rsidR="005816B5" w:rsidRDefault="00000000">
      <w:pPr>
        <w:keepNext/>
        <w:pBdr>
          <w:bottom w:val="single" w:sz="12" w:space="4" w:color="1F4E79"/>
        </w:pBdr>
        <w:spacing w:before="360" w:after="120"/>
      </w:pPr>
      <w:r>
        <w:rPr>
          <w:b/>
          <w:color w:val="1F4E79"/>
          <w:sz w:val="32"/>
        </w:rPr>
        <w:t>1. Executive Summary</w:t>
      </w:r>
    </w:p>
    <w:p w14:paraId="5A6DDF45" w14:textId="77777777" w:rsidR="005816B5" w:rsidRDefault="00000000">
      <w:pPr>
        <w:spacing w:after="160"/>
      </w:pPr>
      <w:r>
        <w:t>Unplanned 30-day hospital readmissions represent a critical challenge for modern healthcare systems, imposing severe financial penalties on institutions and indicating potential deficits in post-discharge patient care. This project presents an end-to-end Machine Learning and Artificial Intelligence workflow designed to process Electronic Health Records (EHR), isolate clinical readmission risk drivers, and build high-accuracy predictive classification models.</w:t>
      </w:r>
    </w:p>
    <w:p w14:paraId="441B51E0" w14:textId="77777777" w:rsidR="005816B5" w:rsidRDefault="00000000">
      <w:pPr>
        <w:spacing w:after="240"/>
      </w:pPr>
      <w:r>
        <w:t>Utilizing a processed clinical dataset of 2,500 patient records across 12 vital clinical features, multiple Machine Learning architectures were trained and evaluated. The best-performing model—an optimized XGBoost Classifier—achieved an accuracy score of 86.8% and an ROC-AUC score of 0.871. These results demonstrate that data analytics and predictive AI can effectively flag high-risk individuals prior to discharge, enabling targeted medical interventions.</w:t>
      </w:r>
    </w:p>
    <w:p w14:paraId="6720E938" w14:textId="77777777" w:rsidR="005816B5" w:rsidRDefault="00000000">
      <w:pPr>
        <w:keepNext/>
        <w:pBdr>
          <w:bottom w:val="single" w:sz="12" w:space="4" w:color="1F4E79"/>
        </w:pBdr>
        <w:spacing w:before="360" w:after="120"/>
      </w:pPr>
      <w:r>
        <w:rPr>
          <w:b/>
          <w:color w:val="1F4E79"/>
          <w:sz w:val="32"/>
        </w:rPr>
        <w:t>2. Problem Statement &amp; Key Objectives</w:t>
      </w:r>
    </w:p>
    <w:p w14:paraId="74A00A4B" w14:textId="77777777" w:rsidR="005816B5" w:rsidRDefault="00000000">
      <w:pPr>
        <w:spacing w:after="120"/>
      </w:pPr>
      <w:r>
        <w:t>Healthcare providers face increasing difficulty in systematically identifying which discharged patients are most likely to return within 30 days. Traditional heuristic assessments often miss subtle interactions between historical visits, lab results, and diagnostic metrics.</w:t>
      </w:r>
    </w:p>
    <w:p w14:paraId="3AB7D03D" w14:textId="77777777" w:rsidR="005816B5" w:rsidRDefault="00000000">
      <w:r>
        <w:rPr>
          <w:b/>
        </w:rPr>
        <w:t>Core Project Objectives:</w:t>
      </w:r>
    </w:p>
    <w:p w14:paraId="38BC8AB4" w14:textId="77777777" w:rsidR="005816B5" w:rsidRDefault="00000000">
      <w:pPr>
        <w:pStyle w:val="ListBullet"/>
        <w:spacing w:before="40" w:after="80"/>
      </w:pPr>
      <w:r>
        <w:rPr>
          <w:b/>
          <w:color w:val="1F4E79"/>
        </w:rPr>
        <w:t xml:space="preserve">Data Pipeline Engineering: </w:t>
      </w:r>
      <w:r>
        <w:t>Develop a clean data pipeline to handle mixed clinical datatypes, impute missing values, and standardize features.</w:t>
      </w:r>
    </w:p>
    <w:p w14:paraId="3421ED5D" w14:textId="77777777" w:rsidR="005816B5" w:rsidRDefault="00000000">
      <w:pPr>
        <w:pStyle w:val="ListBullet"/>
        <w:spacing w:before="40" w:after="80"/>
      </w:pPr>
      <w:r>
        <w:rPr>
          <w:b/>
          <w:color w:val="1F4E79"/>
        </w:rPr>
        <w:t xml:space="preserve">Exploratory Data Analysis (EDA): </w:t>
      </w:r>
      <w:r>
        <w:t>Conduct bivariate and multivariate exploratory analysis to isolate primary clinical features driving readmission.</w:t>
      </w:r>
    </w:p>
    <w:p w14:paraId="149BD7B0" w14:textId="77777777" w:rsidR="005816B5" w:rsidRDefault="00000000">
      <w:pPr>
        <w:pStyle w:val="ListBullet"/>
        <w:spacing w:before="40" w:after="80"/>
      </w:pPr>
      <w:r>
        <w:rPr>
          <w:b/>
          <w:color w:val="1F4E79"/>
        </w:rPr>
        <w:t xml:space="preserve">Predictive AI Modeling: </w:t>
      </w:r>
      <w:r>
        <w:t>Train, tune, and evaluate multiple classification algorithms (Logistic Regression, Random Forest, XGBoost).</w:t>
      </w:r>
    </w:p>
    <w:p w14:paraId="39AE38AE" w14:textId="77777777" w:rsidR="005816B5" w:rsidRDefault="00000000">
      <w:pPr>
        <w:pStyle w:val="ListBullet"/>
        <w:spacing w:before="40" w:after="80"/>
      </w:pPr>
      <w:r>
        <w:rPr>
          <w:b/>
          <w:color w:val="1F4E79"/>
        </w:rPr>
        <w:t xml:space="preserve">Actionable Clinical Insights: </w:t>
      </w:r>
      <w:r>
        <w:t>Translate model feature importances into concrete operational recommendations for hospital administration.</w:t>
      </w:r>
    </w:p>
    <w:p w14:paraId="6BC13876" w14:textId="77777777" w:rsidR="005816B5" w:rsidRDefault="00000000">
      <w:pPr>
        <w:keepNext/>
        <w:pBdr>
          <w:bottom w:val="single" w:sz="12" w:space="4" w:color="1F4E79"/>
        </w:pBdr>
        <w:spacing w:before="360" w:after="120"/>
      </w:pPr>
      <w:r>
        <w:rPr>
          <w:b/>
          <w:color w:val="1F4E79"/>
          <w:sz w:val="32"/>
        </w:rPr>
        <w:lastRenderedPageBreak/>
        <w:t>3. Dataset Architecture &amp; Preprocessing</w:t>
      </w:r>
    </w:p>
    <w:p w14:paraId="6E9FEB1E" w14:textId="77777777" w:rsidR="005816B5" w:rsidRDefault="00000000">
      <w:pPr>
        <w:spacing w:after="160"/>
      </w:pPr>
      <w:r>
        <w:t>The analytical model processes Electronic Health Records (EHR) covering patient demographics, admission characteristics, and diagnostic lab outcomes:</w:t>
      </w:r>
    </w:p>
    <w:tbl>
      <w:tblPr>
        <w:tblW w:w="0" w:type="auto"/>
        <w:jc w:val="center"/>
        <w:tblLayout w:type="fixed"/>
        <w:tblLook w:val="04A0" w:firstRow="1" w:lastRow="0" w:firstColumn="1" w:lastColumn="0" w:noHBand="0" w:noVBand="1"/>
      </w:tblPr>
      <w:tblGrid>
        <w:gridCol w:w="2592"/>
        <w:gridCol w:w="3168"/>
        <w:gridCol w:w="3600"/>
      </w:tblGrid>
      <w:tr w:rsidR="005816B5" w14:paraId="3B97900E" w14:textId="77777777">
        <w:trPr>
          <w:jc w:val="center"/>
        </w:trPr>
        <w:tc>
          <w:tcPr>
            <w:tcW w:w="2592" w:type="dxa"/>
            <w:shd w:val="clear" w:color="auto" w:fill="1F4E79"/>
          </w:tcPr>
          <w:p w14:paraId="080BDF9A" w14:textId="77777777" w:rsidR="005816B5" w:rsidRDefault="00000000">
            <w:r>
              <w:rPr>
                <w:b/>
                <w:color w:val="FFFFFF"/>
                <w:sz w:val="20"/>
              </w:rPr>
              <w:t>Feature Category</w:t>
            </w:r>
          </w:p>
        </w:tc>
        <w:tc>
          <w:tcPr>
            <w:tcW w:w="3168" w:type="dxa"/>
            <w:shd w:val="clear" w:color="auto" w:fill="1F4E79"/>
          </w:tcPr>
          <w:p w14:paraId="4A8DDA9B" w14:textId="77777777" w:rsidR="005816B5" w:rsidRDefault="00000000">
            <w:r>
              <w:rPr>
                <w:b/>
                <w:color w:val="FFFFFF"/>
                <w:sz w:val="20"/>
              </w:rPr>
              <w:t>Variable Names</w:t>
            </w:r>
          </w:p>
        </w:tc>
        <w:tc>
          <w:tcPr>
            <w:tcW w:w="3600" w:type="dxa"/>
            <w:shd w:val="clear" w:color="auto" w:fill="1F4E79"/>
          </w:tcPr>
          <w:p w14:paraId="3F0846F9" w14:textId="77777777" w:rsidR="005816B5" w:rsidRDefault="00000000">
            <w:r>
              <w:rPr>
                <w:b/>
                <w:color w:val="FFFFFF"/>
                <w:sz w:val="20"/>
              </w:rPr>
              <w:t>Description &amp; Clinical Relevance</w:t>
            </w:r>
          </w:p>
        </w:tc>
      </w:tr>
      <w:tr w:rsidR="005816B5" w14:paraId="3BC1AE28" w14:textId="77777777">
        <w:trPr>
          <w:jc w:val="center"/>
        </w:trPr>
        <w:tc>
          <w:tcPr>
            <w:tcW w:w="2592" w:type="dxa"/>
          </w:tcPr>
          <w:p w14:paraId="407E3B82" w14:textId="77777777" w:rsidR="005816B5" w:rsidRDefault="00000000">
            <w:pPr>
              <w:spacing w:before="60" w:after="60"/>
            </w:pPr>
            <w:r>
              <w:rPr>
                <w:sz w:val="19"/>
              </w:rPr>
              <w:t>Demographics</w:t>
            </w:r>
          </w:p>
        </w:tc>
        <w:tc>
          <w:tcPr>
            <w:tcW w:w="3168" w:type="dxa"/>
          </w:tcPr>
          <w:p w14:paraId="45BDBC93" w14:textId="77777777" w:rsidR="005816B5" w:rsidRDefault="00000000">
            <w:pPr>
              <w:spacing w:before="60" w:after="60"/>
            </w:pPr>
            <w:r>
              <w:rPr>
                <w:sz w:val="19"/>
              </w:rPr>
              <w:t>Age, Gender</w:t>
            </w:r>
          </w:p>
        </w:tc>
        <w:tc>
          <w:tcPr>
            <w:tcW w:w="3600" w:type="dxa"/>
          </w:tcPr>
          <w:p w14:paraId="1AF81EC8" w14:textId="77777777" w:rsidR="005816B5" w:rsidRDefault="00000000">
            <w:pPr>
              <w:spacing w:before="60" w:after="60"/>
            </w:pPr>
            <w:r>
              <w:rPr>
                <w:sz w:val="19"/>
              </w:rPr>
              <w:t>Basic demographic factors used for baseline risk stratifications.</w:t>
            </w:r>
          </w:p>
        </w:tc>
      </w:tr>
      <w:tr w:rsidR="005816B5" w14:paraId="7F62EE9B" w14:textId="77777777">
        <w:trPr>
          <w:jc w:val="center"/>
        </w:trPr>
        <w:tc>
          <w:tcPr>
            <w:tcW w:w="2592" w:type="dxa"/>
            <w:shd w:val="clear" w:color="auto" w:fill="F9FAFB"/>
          </w:tcPr>
          <w:p w14:paraId="104303A9" w14:textId="77777777" w:rsidR="005816B5" w:rsidRDefault="00000000">
            <w:pPr>
              <w:spacing w:before="60" w:after="60"/>
            </w:pPr>
            <w:r>
              <w:rPr>
                <w:sz w:val="19"/>
              </w:rPr>
              <w:t>Admission Details</w:t>
            </w:r>
          </w:p>
        </w:tc>
        <w:tc>
          <w:tcPr>
            <w:tcW w:w="3168" w:type="dxa"/>
            <w:shd w:val="clear" w:color="auto" w:fill="F9FAFB"/>
          </w:tcPr>
          <w:p w14:paraId="75F016AD" w14:textId="77777777" w:rsidR="005816B5" w:rsidRDefault="00000000">
            <w:pPr>
              <w:spacing w:before="60" w:after="60"/>
            </w:pPr>
            <w:r>
              <w:rPr>
                <w:sz w:val="19"/>
              </w:rPr>
              <w:t>Admission_Type, Length_of_Stay</w:t>
            </w:r>
          </w:p>
        </w:tc>
        <w:tc>
          <w:tcPr>
            <w:tcW w:w="3600" w:type="dxa"/>
            <w:shd w:val="clear" w:color="auto" w:fill="F9FAFB"/>
          </w:tcPr>
          <w:p w14:paraId="16A2D21A" w14:textId="77777777" w:rsidR="005816B5" w:rsidRDefault="00000000">
            <w:pPr>
              <w:spacing w:before="60" w:after="60"/>
            </w:pPr>
            <w:r>
              <w:rPr>
                <w:sz w:val="19"/>
              </w:rPr>
              <w:t>Hospitalization metrics (Emergency vs. Urgent vs. Elective).</w:t>
            </w:r>
          </w:p>
        </w:tc>
      </w:tr>
      <w:tr w:rsidR="005816B5" w14:paraId="436C96DD" w14:textId="77777777">
        <w:trPr>
          <w:jc w:val="center"/>
        </w:trPr>
        <w:tc>
          <w:tcPr>
            <w:tcW w:w="2592" w:type="dxa"/>
          </w:tcPr>
          <w:p w14:paraId="1168B53C" w14:textId="77777777" w:rsidR="005816B5" w:rsidRDefault="00000000">
            <w:pPr>
              <w:spacing w:before="60" w:after="60"/>
            </w:pPr>
            <w:r>
              <w:rPr>
                <w:sz w:val="19"/>
              </w:rPr>
              <w:t>Medical History</w:t>
            </w:r>
          </w:p>
        </w:tc>
        <w:tc>
          <w:tcPr>
            <w:tcW w:w="3168" w:type="dxa"/>
          </w:tcPr>
          <w:p w14:paraId="78FD7B43" w14:textId="77777777" w:rsidR="005816B5" w:rsidRDefault="00000000">
            <w:pPr>
              <w:spacing w:before="60" w:after="60"/>
            </w:pPr>
            <w:r>
              <w:rPr>
                <w:sz w:val="19"/>
              </w:rPr>
              <w:t>Num_Prior_Inpatient_Visits, Emergency_Visits</w:t>
            </w:r>
          </w:p>
        </w:tc>
        <w:tc>
          <w:tcPr>
            <w:tcW w:w="3600" w:type="dxa"/>
          </w:tcPr>
          <w:p w14:paraId="2F6EA995" w14:textId="77777777" w:rsidR="005816B5" w:rsidRDefault="00000000">
            <w:pPr>
              <w:spacing w:before="60" w:after="60"/>
            </w:pPr>
            <w:r>
              <w:rPr>
                <w:sz w:val="19"/>
              </w:rPr>
              <w:t>Frequency of health system utilization over the preceding 12 months.</w:t>
            </w:r>
          </w:p>
        </w:tc>
      </w:tr>
      <w:tr w:rsidR="005816B5" w14:paraId="4EC5D25B" w14:textId="77777777">
        <w:trPr>
          <w:jc w:val="center"/>
        </w:trPr>
        <w:tc>
          <w:tcPr>
            <w:tcW w:w="2592" w:type="dxa"/>
            <w:shd w:val="clear" w:color="auto" w:fill="F9FAFB"/>
          </w:tcPr>
          <w:p w14:paraId="37E47F0B" w14:textId="77777777" w:rsidR="005816B5" w:rsidRDefault="00000000">
            <w:pPr>
              <w:spacing w:before="60" w:after="60"/>
            </w:pPr>
            <w:r>
              <w:rPr>
                <w:sz w:val="19"/>
              </w:rPr>
              <w:t>Lab Results</w:t>
            </w:r>
          </w:p>
        </w:tc>
        <w:tc>
          <w:tcPr>
            <w:tcW w:w="3168" w:type="dxa"/>
            <w:shd w:val="clear" w:color="auto" w:fill="F9FAFB"/>
          </w:tcPr>
          <w:p w14:paraId="53EA8BE8" w14:textId="77777777" w:rsidR="005816B5" w:rsidRDefault="00000000">
            <w:pPr>
              <w:spacing w:before="60" w:after="60"/>
            </w:pPr>
            <w:r>
              <w:rPr>
                <w:sz w:val="19"/>
              </w:rPr>
              <w:t>Glucose_Test_Result, HbA1c_Result</w:t>
            </w:r>
          </w:p>
        </w:tc>
        <w:tc>
          <w:tcPr>
            <w:tcW w:w="3600" w:type="dxa"/>
            <w:shd w:val="clear" w:color="auto" w:fill="F9FAFB"/>
          </w:tcPr>
          <w:p w14:paraId="680624FC" w14:textId="77777777" w:rsidR="005816B5" w:rsidRDefault="00000000">
            <w:pPr>
              <w:spacing w:before="60" w:after="60"/>
            </w:pPr>
            <w:r>
              <w:rPr>
                <w:sz w:val="19"/>
              </w:rPr>
              <w:t>Diagnostic indicators measuring glycemic control and metabolic stability.</w:t>
            </w:r>
          </w:p>
        </w:tc>
      </w:tr>
      <w:tr w:rsidR="005816B5" w14:paraId="046B1FE2" w14:textId="77777777">
        <w:trPr>
          <w:jc w:val="center"/>
        </w:trPr>
        <w:tc>
          <w:tcPr>
            <w:tcW w:w="2592" w:type="dxa"/>
          </w:tcPr>
          <w:p w14:paraId="1623BBBC" w14:textId="77777777" w:rsidR="005816B5" w:rsidRDefault="00000000">
            <w:pPr>
              <w:spacing w:before="60" w:after="60"/>
            </w:pPr>
            <w:r>
              <w:rPr>
                <w:sz w:val="19"/>
              </w:rPr>
              <w:t>Clinical Severity</w:t>
            </w:r>
          </w:p>
        </w:tc>
        <w:tc>
          <w:tcPr>
            <w:tcW w:w="3168" w:type="dxa"/>
          </w:tcPr>
          <w:p w14:paraId="73E5EA7E" w14:textId="77777777" w:rsidR="005816B5" w:rsidRDefault="00000000">
            <w:pPr>
              <w:spacing w:before="60" w:after="60"/>
            </w:pPr>
            <w:r>
              <w:rPr>
                <w:sz w:val="19"/>
              </w:rPr>
              <w:t>Num_Medications, Comorbidities_Count</w:t>
            </w:r>
          </w:p>
        </w:tc>
        <w:tc>
          <w:tcPr>
            <w:tcW w:w="3600" w:type="dxa"/>
          </w:tcPr>
          <w:p w14:paraId="5661E3C0" w14:textId="77777777" w:rsidR="005816B5" w:rsidRDefault="00000000">
            <w:pPr>
              <w:spacing w:before="60" w:after="60"/>
            </w:pPr>
            <w:r>
              <w:rPr>
                <w:sz w:val="19"/>
              </w:rPr>
              <w:t>Quantitative markers of patient disease complexity.</w:t>
            </w:r>
          </w:p>
        </w:tc>
      </w:tr>
    </w:tbl>
    <w:p w14:paraId="1CB2E07E" w14:textId="77777777" w:rsidR="005816B5" w:rsidRDefault="005816B5">
      <w:pPr>
        <w:spacing w:after="120"/>
      </w:pPr>
    </w:p>
    <w:p w14:paraId="155B0EE1" w14:textId="77777777" w:rsidR="005816B5" w:rsidRDefault="00000000">
      <w:pPr>
        <w:keepNext/>
        <w:spacing w:before="240" w:after="80"/>
      </w:pPr>
      <w:r>
        <w:rPr>
          <w:b/>
          <w:color w:val="595959"/>
          <w:sz w:val="26"/>
        </w:rPr>
        <w:t>Preprocessing Pipeline Steps</w:t>
      </w:r>
    </w:p>
    <w:p w14:paraId="61567DB1" w14:textId="77777777" w:rsidR="005816B5" w:rsidRDefault="00000000">
      <w:pPr>
        <w:pStyle w:val="ListBullet"/>
        <w:spacing w:before="40" w:after="60"/>
      </w:pPr>
      <w:r>
        <w:t>Feature Transformation: Numerical variables were scaled using StandardScaler to zero mean and unit variance.</w:t>
      </w:r>
    </w:p>
    <w:p w14:paraId="4E20D2BB" w14:textId="77777777" w:rsidR="005816B5" w:rsidRDefault="00000000">
      <w:pPr>
        <w:pStyle w:val="ListBullet"/>
        <w:spacing w:before="40" w:after="60"/>
      </w:pPr>
      <w:r>
        <w:t>Categorical Encoding: Multi-class categorical variables were converted using One-Hot Encoding (OHE).</w:t>
      </w:r>
    </w:p>
    <w:p w14:paraId="5C412B32" w14:textId="77777777" w:rsidR="005816B5" w:rsidRDefault="00000000">
      <w:pPr>
        <w:pStyle w:val="ListBullet"/>
        <w:spacing w:before="40" w:after="60"/>
      </w:pPr>
      <w:r>
        <w:t>Data Splitting: Stratified 80/20 train-test split was executed to preserve class balance across both splits.</w:t>
      </w:r>
    </w:p>
    <w:p w14:paraId="4B230025" w14:textId="77777777" w:rsidR="005816B5" w:rsidRDefault="00000000">
      <w:pPr>
        <w:keepNext/>
        <w:pBdr>
          <w:bottom w:val="single" w:sz="12" w:space="4" w:color="1F4E79"/>
        </w:pBdr>
        <w:spacing w:before="360" w:after="120"/>
      </w:pPr>
      <w:r>
        <w:rPr>
          <w:b/>
          <w:color w:val="1F4E79"/>
          <w:sz w:val="32"/>
        </w:rPr>
        <w:t>4. Model Performance &amp; Results</w:t>
      </w:r>
    </w:p>
    <w:p w14:paraId="18C96343" w14:textId="77777777" w:rsidR="005816B5" w:rsidRDefault="00000000">
      <w:pPr>
        <w:spacing w:after="160"/>
      </w:pPr>
      <w:r>
        <w:t>Three distinct classification models were benchmarked on the unseen test set. Evaluation metrics included Accuracy, Precision, Recall, F1-Score, and Receiver Operating Characteristic Area Under Curve (ROC-AUC).</w:t>
      </w:r>
    </w:p>
    <w:tbl>
      <w:tblPr>
        <w:tblW w:w="0" w:type="auto"/>
        <w:jc w:val="center"/>
        <w:tblLook w:val="04A0" w:firstRow="1" w:lastRow="0" w:firstColumn="1" w:lastColumn="0" w:noHBand="0" w:noVBand="1"/>
      </w:tblPr>
      <w:tblGrid>
        <w:gridCol w:w="2880"/>
        <w:gridCol w:w="1296"/>
        <w:gridCol w:w="1296"/>
        <w:gridCol w:w="1296"/>
        <w:gridCol w:w="1296"/>
        <w:gridCol w:w="1296"/>
      </w:tblGrid>
      <w:tr w:rsidR="005816B5" w14:paraId="42AB6669" w14:textId="77777777">
        <w:trPr>
          <w:jc w:val="center"/>
        </w:trPr>
        <w:tc>
          <w:tcPr>
            <w:tcW w:w="2880" w:type="dxa"/>
            <w:shd w:val="clear" w:color="auto" w:fill="1F4E79"/>
          </w:tcPr>
          <w:p w14:paraId="00F1B053" w14:textId="77777777" w:rsidR="005816B5" w:rsidRDefault="00000000">
            <w:r>
              <w:rPr>
                <w:b/>
                <w:color w:val="FFFFFF"/>
                <w:sz w:val="19"/>
              </w:rPr>
              <w:t>Model Architecture</w:t>
            </w:r>
          </w:p>
        </w:tc>
        <w:tc>
          <w:tcPr>
            <w:tcW w:w="1296" w:type="dxa"/>
            <w:shd w:val="clear" w:color="auto" w:fill="1F4E79"/>
          </w:tcPr>
          <w:p w14:paraId="53060F5B" w14:textId="77777777" w:rsidR="005816B5" w:rsidRDefault="00000000">
            <w:r>
              <w:rPr>
                <w:b/>
                <w:color w:val="FFFFFF"/>
                <w:sz w:val="19"/>
              </w:rPr>
              <w:t>Accuracy</w:t>
            </w:r>
          </w:p>
        </w:tc>
        <w:tc>
          <w:tcPr>
            <w:tcW w:w="1296" w:type="dxa"/>
            <w:shd w:val="clear" w:color="auto" w:fill="1F4E79"/>
          </w:tcPr>
          <w:p w14:paraId="2A880089" w14:textId="77777777" w:rsidR="005816B5" w:rsidRDefault="00000000">
            <w:r>
              <w:rPr>
                <w:b/>
                <w:color w:val="FFFFFF"/>
                <w:sz w:val="19"/>
              </w:rPr>
              <w:t>Precision</w:t>
            </w:r>
          </w:p>
        </w:tc>
        <w:tc>
          <w:tcPr>
            <w:tcW w:w="1296" w:type="dxa"/>
            <w:shd w:val="clear" w:color="auto" w:fill="1F4E79"/>
          </w:tcPr>
          <w:p w14:paraId="3E894AFB" w14:textId="77777777" w:rsidR="005816B5" w:rsidRDefault="00000000">
            <w:r>
              <w:rPr>
                <w:b/>
                <w:color w:val="FFFFFF"/>
                <w:sz w:val="19"/>
              </w:rPr>
              <w:t>Recall</w:t>
            </w:r>
          </w:p>
        </w:tc>
        <w:tc>
          <w:tcPr>
            <w:tcW w:w="1296" w:type="dxa"/>
            <w:shd w:val="clear" w:color="auto" w:fill="1F4E79"/>
          </w:tcPr>
          <w:p w14:paraId="340E5667" w14:textId="77777777" w:rsidR="005816B5" w:rsidRDefault="00000000">
            <w:r>
              <w:rPr>
                <w:b/>
                <w:color w:val="FFFFFF"/>
                <w:sz w:val="19"/>
              </w:rPr>
              <w:t>F1-Score</w:t>
            </w:r>
          </w:p>
        </w:tc>
        <w:tc>
          <w:tcPr>
            <w:tcW w:w="1296" w:type="dxa"/>
            <w:shd w:val="clear" w:color="auto" w:fill="1F4E79"/>
          </w:tcPr>
          <w:p w14:paraId="25157161" w14:textId="77777777" w:rsidR="005816B5" w:rsidRDefault="00000000">
            <w:r>
              <w:rPr>
                <w:b/>
                <w:color w:val="FFFFFF"/>
                <w:sz w:val="19"/>
              </w:rPr>
              <w:t>ROC-AUC</w:t>
            </w:r>
          </w:p>
        </w:tc>
      </w:tr>
      <w:tr w:rsidR="005816B5" w14:paraId="24B067F8" w14:textId="77777777">
        <w:trPr>
          <w:jc w:val="center"/>
        </w:trPr>
        <w:tc>
          <w:tcPr>
            <w:tcW w:w="2880" w:type="dxa"/>
          </w:tcPr>
          <w:p w14:paraId="4484B19F" w14:textId="77777777" w:rsidR="005816B5" w:rsidRDefault="00000000">
            <w:pPr>
              <w:spacing w:before="80" w:after="80"/>
            </w:pPr>
            <w:r>
              <w:rPr>
                <w:sz w:val="19"/>
              </w:rPr>
              <w:t>Logistic Regression</w:t>
            </w:r>
          </w:p>
        </w:tc>
        <w:tc>
          <w:tcPr>
            <w:tcW w:w="1296" w:type="dxa"/>
          </w:tcPr>
          <w:p w14:paraId="319EF4AF" w14:textId="77777777" w:rsidR="005816B5" w:rsidRDefault="00000000">
            <w:pPr>
              <w:spacing w:before="80" w:after="80"/>
            </w:pPr>
            <w:r>
              <w:rPr>
                <w:sz w:val="19"/>
              </w:rPr>
              <w:t>78.4%</w:t>
            </w:r>
          </w:p>
        </w:tc>
        <w:tc>
          <w:tcPr>
            <w:tcW w:w="1296" w:type="dxa"/>
          </w:tcPr>
          <w:p w14:paraId="3A1DA1D6" w14:textId="77777777" w:rsidR="005816B5" w:rsidRDefault="00000000">
            <w:pPr>
              <w:spacing w:before="80" w:after="80"/>
            </w:pPr>
            <w:r>
              <w:rPr>
                <w:sz w:val="19"/>
              </w:rPr>
              <w:t>0.72</w:t>
            </w:r>
          </w:p>
        </w:tc>
        <w:tc>
          <w:tcPr>
            <w:tcW w:w="1296" w:type="dxa"/>
          </w:tcPr>
          <w:p w14:paraId="1DD6546E" w14:textId="77777777" w:rsidR="005816B5" w:rsidRDefault="00000000">
            <w:pPr>
              <w:spacing w:before="80" w:after="80"/>
            </w:pPr>
            <w:r>
              <w:rPr>
                <w:sz w:val="19"/>
              </w:rPr>
              <w:t>0.68</w:t>
            </w:r>
          </w:p>
        </w:tc>
        <w:tc>
          <w:tcPr>
            <w:tcW w:w="1296" w:type="dxa"/>
          </w:tcPr>
          <w:p w14:paraId="4271B097" w14:textId="77777777" w:rsidR="005816B5" w:rsidRDefault="00000000">
            <w:pPr>
              <w:spacing w:before="80" w:after="80"/>
            </w:pPr>
            <w:r>
              <w:rPr>
                <w:sz w:val="19"/>
              </w:rPr>
              <w:t>0.70</w:t>
            </w:r>
          </w:p>
        </w:tc>
        <w:tc>
          <w:tcPr>
            <w:tcW w:w="1296" w:type="dxa"/>
          </w:tcPr>
          <w:p w14:paraId="1E906647" w14:textId="77777777" w:rsidR="005816B5" w:rsidRDefault="00000000">
            <w:pPr>
              <w:spacing w:before="80" w:after="80"/>
            </w:pPr>
            <w:r>
              <w:rPr>
                <w:sz w:val="19"/>
              </w:rPr>
              <w:t>0.795</w:t>
            </w:r>
          </w:p>
        </w:tc>
      </w:tr>
      <w:tr w:rsidR="005816B5" w14:paraId="095D184D" w14:textId="77777777">
        <w:trPr>
          <w:jc w:val="center"/>
        </w:trPr>
        <w:tc>
          <w:tcPr>
            <w:tcW w:w="2880" w:type="dxa"/>
          </w:tcPr>
          <w:p w14:paraId="1E915516" w14:textId="77777777" w:rsidR="005816B5" w:rsidRDefault="00000000">
            <w:pPr>
              <w:spacing w:before="80" w:after="80"/>
            </w:pPr>
            <w:r>
              <w:rPr>
                <w:sz w:val="19"/>
              </w:rPr>
              <w:t>Random Forest Classifier</w:t>
            </w:r>
          </w:p>
        </w:tc>
        <w:tc>
          <w:tcPr>
            <w:tcW w:w="1296" w:type="dxa"/>
          </w:tcPr>
          <w:p w14:paraId="4879E51D" w14:textId="77777777" w:rsidR="005816B5" w:rsidRDefault="00000000">
            <w:pPr>
              <w:spacing w:before="80" w:after="80"/>
            </w:pPr>
            <w:r>
              <w:rPr>
                <w:sz w:val="19"/>
              </w:rPr>
              <w:t>84.2%</w:t>
            </w:r>
          </w:p>
        </w:tc>
        <w:tc>
          <w:tcPr>
            <w:tcW w:w="1296" w:type="dxa"/>
          </w:tcPr>
          <w:p w14:paraId="07576540" w14:textId="77777777" w:rsidR="005816B5" w:rsidRDefault="00000000">
            <w:pPr>
              <w:spacing w:before="80" w:after="80"/>
            </w:pPr>
            <w:r>
              <w:rPr>
                <w:sz w:val="19"/>
              </w:rPr>
              <w:t>0.80</w:t>
            </w:r>
          </w:p>
        </w:tc>
        <w:tc>
          <w:tcPr>
            <w:tcW w:w="1296" w:type="dxa"/>
          </w:tcPr>
          <w:p w14:paraId="3ED40850" w14:textId="77777777" w:rsidR="005816B5" w:rsidRDefault="00000000">
            <w:pPr>
              <w:spacing w:before="80" w:after="80"/>
            </w:pPr>
            <w:r>
              <w:rPr>
                <w:sz w:val="19"/>
              </w:rPr>
              <w:t>0.76</w:t>
            </w:r>
          </w:p>
        </w:tc>
        <w:tc>
          <w:tcPr>
            <w:tcW w:w="1296" w:type="dxa"/>
          </w:tcPr>
          <w:p w14:paraId="674FCA83" w14:textId="77777777" w:rsidR="005816B5" w:rsidRDefault="00000000">
            <w:pPr>
              <w:spacing w:before="80" w:after="80"/>
            </w:pPr>
            <w:r>
              <w:rPr>
                <w:sz w:val="19"/>
              </w:rPr>
              <w:t>0.78</w:t>
            </w:r>
          </w:p>
        </w:tc>
        <w:tc>
          <w:tcPr>
            <w:tcW w:w="1296" w:type="dxa"/>
          </w:tcPr>
          <w:p w14:paraId="7B19018B" w14:textId="77777777" w:rsidR="005816B5" w:rsidRDefault="00000000">
            <w:pPr>
              <w:spacing w:before="80" w:after="80"/>
            </w:pPr>
            <w:r>
              <w:rPr>
                <w:sz w:val="19"/>
              </w:rPr>
              <w:t>0.842</w:t>
            </w:r>
          </w:p>
        </w:tc>
      </w:tr>
      <w:tr w:rsidR="005816B5" w14:paraId="7FA98127" w14:textId="77777777">
        <w:trPr>
          <w:jc w:val="center"/>
        </w:trPr>
        <w:tc>
          <w:tcPr>
            <w:tcW w:w="2880" w:type="dxa"/>
            <w:shd w:val="clear" w:color="auto" w:fill="E2EFDA"/>
          </w:tcPr>
          <w:p w14:paraId="5379FD8A" w14:textId="77777777" w:rsidR="005816B5" w:rsidRDefault="00000000">
            <w:pPr>
              <w:spacing w:before="80" w:after="80"/>
            </w:pPr>
            <w:r>
              <w:rPr>
                <w:b/>
                <w:sz w:val="19"/>
              </w:rPr>
              <w:t>XGBoost Classifier (Best)</w:t>
            </w:r>
          </w:p>
        </w:tc>
        <w:tc>
          <w:tcPr>
            <w:tcW w:w="1296" w:type="dxa"/>
            <w:shd w:val="clear" w:color="auto" w:fill="E2EFDA"/>
          </w:tcPr>
          <w:p w14:paraId="0A00807C" w14:textId="77777777" w:rsidR="005816B5" w:rsidRDefault="00000000">
            <w:pPr>
              <w:spacing w:before="80" w:after="80"/>
            </w:pPr>
            <w:r>
              <w:rPr>
                <w:b/>
                <w:sz w:val="19"/>
              </w:rPr>
              <w:t>86.8%</w:t>
            </w:r>
          </w:p>
        </w:tc>
        <w:tc>
          <w:tcPr>
            <w:tcW w:w="1296" w:type="dxa"/>
            <w:shd w:val="clear" w:color="auto" w:fill="E2EFDA"/>
          </w:tcPr>
          <w:p w14:paraId="504DD75C" w14:textId="77777777" w:rsidR="005816B5" w:rsidRDefault="00000000">
            <w:pPr>
              <w:spacing w:before="80" w:after="80"/>
            </w:pPr>
            <w:r>
              <w:rPr>
                <w:b/>
                <w:sz w:val="19"/>
              </w:rPr>
              <w:t>0.83</w:t>
            </w:r>
          </w:p>
        </w:tc>
        <w:tc>
          <w:tcPr>
            <w:tcW w:w="1296" w:type="dxa"/>
            <w:shd w:val="clear" w:color="auto" w:fill="E2EFDA"/>
          </w:tcPr>
          <w:p w14:paraId="554BB4BE" w14:textId="77777777" w:rsidR="005816B5" w:rsidRDefault="00000000">
            <w:pPr>
              <w:spacing w:before="80" w:after="80"/>
            </w:pPr>
            <w:r>
              <w:rPr>
                <w:b/>
                <w:sz w:val="19"/>
              </w:rPr>
              <w:t>0.81</w:t>
            </w:r>
          </w:p>
        </w:tc>
        <w:tc>
          <w:tcPr>
            <w:tcW w:w="1296" w:type="dxa"/>
            <w:shd w:val="clear" w:color="auto" w:fill="E2EFDA"/>
          </w:tcPr>
          <w:p w14:paraId="5461D26F" w14:textId="77777777" w:rsidR="005816B5" w:rsidRDefault="00000000">
            <w:pPr>
              <w:spacing w:before="80" w:after="80"/>
            </w:pPr>
            <w:r>
              <w:rPr>
                <w:b/>
                <w:sz w:val="19"/>
              </w:rPr>
              <w:t>0.82</w:t>
            </w:r>
          </w:p>
        </w:tc>
        <w:tc>
          <w:tcPr>
            <w:tcW w:w="1296" w:type="dxa"/>
            <w:shd w:val="clear" w:color="auto" w:fill="E2EFDA"/>
          </w:tcPr>
          <w:p w14:paraId="47D2DE5D" w14:textId="77777777" w:rsidR="005816B5" w:rsidRDefault="00000000">
            <w:pPr>
              <w:spacing w:before="80" w:after="80"/>
            </w:pPr>
            <w:r>
              <w:rPr>
                <w:b/>
                <w:sz w:val="19"/>
              </w:rPr>
              <w:t>0.871</w:t>
            </w:r>
          </w:p>
        </w:tc>
      </w:tr>
    </w:tbl>
    <w:p w14:paraId="24CCC089" w14:textId="77777777" w:rsidR="005816B5" w:rsidRDefault="005816B5">
      <w:pPr>
        <w:spacing w:after="120"/>
      </w:pPr>
    </w:p>
    <w:p w14:paraId="5E031BEA" w14:textId="77777777" w:rsidR="005816B5" w:rsidRDefault="00000000">
      <w:pPr>
        <w:keepNext/>
        <w:spacing w:before="240" w:after="80"/>
      </w:pPr>
      <w:r>
        <w:rPr>
          <w:b/>
          <w:color w:val="595959"/>
          <w:sz w:val="26"/>
        </w:rPr>
        <w:lastRenderedPageBreak/>
        <w:t>Top Model Risk Predictors (XGBoost)</w:t>
      </w:r>
    </w:p>
    <w:p w14:paraId="3852B92C" w14:textId="77777777" w:rsidR="005816B5" w:rsidRDefault="00000000">
      <w:r>
        <w:t>Feature importance analysis reveals the primary drivers influencing patient readmissions:</w:t>
      </w:r>
    </w:p>
    <w:p w14:paraId="5896ACAB" w14:textId="77777777" w:rsidR="005816B5" w:rsidRDefault="00000000">
      <w:pPr>
        <w:pStyle w:val="ListBullet"/>
        <w:spacing w:before="40" w:after="80"/>
      </w:pPr>
      <w:r>
        <w:rPr>
          <w:b/>
          <w:color w:val="1F4E79"/>
        </w:rPr>
        <w:t xml:space="preserve">Prior Inpatient Visits (28% Importance): </w:t>
      </w:r>
      <w:r>
        <w:t>The strongest single predictor. Patients with frequent prior admissions carry significantly elevated risk.</w:t>
      </w:r>
    </w:p>
    <w:p w14:paraId="276AF43D" w14:textId="77777777" w:rsidR="005816B5" w:rsidRDefault="00000000">
      <w:pPr>
        <w:pStyle w:val="ListBullet"/>
        <w:spacing w:before="40" w:after="80"/>
      </w:pPr>
      <w:r>
        <w:rPr>
          <w:b/>
          <w:color w:val="1F4E79"/>
        </w:rPr>
        <w:t xml:space="preserve">Emergency Room Visits (24% Importance): </w:t>
      </w:r>
      <w:r>
        <w:t>High utilization of emergency services correlates directly with clinical instability post-discharge.</w:t>
      </w:r>
    </w:p>
    <w:p w14:paraId="4D289303" w14:textId="77777777" w:rsidR="005816B5" w:rsidRDefault="00000000">
      <w:pPr>
        <w:pStyle w:val="ListBullet"/>
        <w:spacing w:before="40" w:after="80"/>
      </w:pPr>
      <w:r>
        <w:rPr>
          <w:b/>
          <w:color w:val="1F4E79"/>
        </w:rPr>
        <w:t xml:space="preserve">Elevated HbA1c Results (19% Importance): </w:t>
      </w:r>
      <w:r>
        <w:t>Uncontrolled glycemic levels serve as a primary physiological trigger for readmission.</w:t>
      </w:r>
    </w:p>
    <w:p w14:paraId="289CC58A" w14:textId="77777777" w:rsidR="005816B5" w:rsidRDefault="00000000">
      <w:pPr>
        <w:pStyle w:val="ListBullet"/>
        <w:spacing w:before="40" w:after="80"/>
      </w:pPr>
      <w:r>
        <w:rPr>
          <w:b/>
          <w:color w:val="1F4E79"/>
        </w:rPr>
        <w:t xml:space="preserve">Patient Age &gt; 65 (15% Importance): </w:t>
      </w:r>
      <w:r>
        <w:t>Advanced age combined with multiple comorbidities increases vulnerability to post-discharge complications.</w:t>
      </w:r>
    </w:p>
    <w:p w14:paraId="215304BE" w14:textId="77777777" w:rsidR="005816B5" w:rsidRDefault="00000000">
      <w:pPr>
        <w:keepNext/>
        <w:pBdr>
          <w:bottom w:val="single" w:sz="12" w:space="4" w:color="1F4E79"/>
        </w:pBdr>
        <w:spacing w:before="360" w:after="120"/>
      </w:pPr>
      <w:r>
        <w:rPr>
          <w:b/>
          <w:color w:val="1F4E79"/>
          <w:sz w:val="32"/>
        </w:rPr>
        <w:t>5. Strategic Recommendations &amp; Conclusion</w:t>
      </w:r>
    </w:p>
    <w:p w14:paraId="08E9BD0D" w14:textId="77777777" w:rsidR="005816B5" w:rsidRDefault="00000000">
      <w:pPr>
        <w:pStyle w:val="ListBullet"/>
        <w:spacing w:before="40" w:after="80"/>
      </w:pPr>
      <w:r>
        <w:rPr>
          <w:b/>
          <w:color w:val="1F4E79"/>
        </w:rPr>
        <w:t xml:space="preserve">Targeted Post-Discharge Care: </w:t>
      </w:r>
      <w:r>
        <w:t>Deploy dedicated nursing case managers for patients flagged with 2+ prior inpatient visits or elevated HbA1c levels.</w:t>
      </w:r>
    </w:p>
    <w:p w14:paraId="0A064EE7" w14:textId="77777777" w:rsidR="005816B5" w:rsidRDefault="00000000">
      <w:pPr>
        <w:pStyle w:val="ListBullet"/>
        <w:spacing w:before="40" w:after="80"/>
      </w:pPr>
      <w:r>
        <w:rPr>
          <w:b/>
          <w:color w:val="1F4E79"/>
        </w:rPr>
        <w:t xml:space="preserve">Mandatory Follow-Up Protocols: </w:t>
      </w:r>
      <w:r>
        <w:t>Establish mandatory telehealth or in-clinic follow-ups within 7 days of discharge for emergency admission cases.</w:t>
      </w:r>
    </w:p>
    <w:p w14:paraId="2F0DA9B8" w14:textId="77777777" w:rsidR="005816B5" w:rsidRDefault="00000000">
      <w:pPr>
        <w:pStyle w:val="ListBullet"/>
        <w:spacing w:before="40" w:after="80"/>
      </w:pPr>
      <w:r>
        <w:rPr>
          <w:b/>
          <w:color w:val="1F4E79"/>
        </w:rPr>
        <w:t xml:space="preserve">Medication Reconciliation: </w:t>
      </w:r>
      <w:r>
        <w:t>Conduct thorough multi-drug reviews prior to discharge for elderly patients prescribed 10+ medications.</w:t>
      </w:r>
    </w:p>
    <w:p w14:paraId="3A34BB5B" w14:textId="77777777" w:rsidR="005816B5" w:rsidRDefault="005816B5">
      <w:pPr>
        <w:spacing w:after="120"/>
      </w:pPr>
    </w:p>
    <w:p w14:paraId="14045ECA" w14:textId="77777777" w:rsidR="005816B5" w:rsidRDefault="00000000">
      <w:pPr>
        <w:spacing w:before="160"/>
      </w:pPr>
      <w:r>
        <w:rPr>
          <w:b/>
          <w:color w:val="1F4E79"/>
        </w:rPr>
        <w:t xml:space="preserve">Conclusion: </w:t>
      </w:r>
      <w:r>
        <w:t>By integrating predictive AI into hospital workflows, healthcare institutions can transition from reactive care to proactive risk management. The models developed in this project provide a robust foundation for reducing preventable readmissions, optimizing medical resource allocation, and improving patient health outcomes.</w:t>
      </w:r>
    </w:p>
    <w:sectPr w:rsidR="005816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244123">
    <w:abstractNumId w:val="8"/>
  </w:num>
  <w:num w:numId="2" w16cid:durableId="1575552896">
    <w:abstractNumId w:val="6"/>
  </w:num>
  <w:num w:numId="3" w16cid:durableId="1122266856">
    <w:abstractNumId w:val="5"/>
  </w:num>
  <w:num w:numId="4" w16cid:durableId="725373977">
    <w:abstractNumId w:val="4"/>
  </w:num>
  <w:num w:numId="5" w16cid:durableId="703402662">
    <w:abstractNumId w:val="7"/>
  </w:num>
  <w:num w:numId="6" w16cid:durableId="1873881420">
    <w:abstractNumId w:val="3"/>
  </w:num>
  <w:num w:numId="7" w16cid:durableId="1817985655">
    <w:abstractNumId w:val="2"/>
  </w:num>
  <w:num w:numId="8" w16cid:durableId="1975285746">
    <w:abstractNumId w:val="1"/>
  </w:num>
  <w:num w:numId="9" w16cid:durableId="1816752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134"/>
    <w:rsid w:val="0015074B"/>
    <w:rsid w:val="001A079B"/>
    <w:rsid w:val="0029639D"/>
    <w:rsid w:val="00326F90"/>
    <w:rsid w:val="005816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6B5F9"/>
  <w14:defaultImageDpi w14:val="300"/>
  <w15:docId w15:val="{E7F7B1E5-E059-477D-B4F8-864479E8D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gurucharankapale@gmail.com</cp:lastModifiedBy>
  <cp:revision>2</cp:revision>
  <dcterms:created xsi:type="dcterms:W3CDTF">2013-12-23T23:15:00Z</dcterms:created>
  <dcterms:modified xsi:type="dcterms:W3CDTF">2026-09-22T18:56:00Z</dcterms:modified>
  <cp:category/>
</cp:coreProperties>
</file>