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HIGH-LEVEL ARCHITECTURE DOCUMENT</w:t>
      </w:r>
    </w:p>
    <w:p>
      <w:pPr>
        <w:jc w:val="center"/>
      </w:pPr>
      <w:r>
        <w:rPr>
          <w:b/>
          <w:i w:val="0"/>
        </w:rPr>
        <w:t>Smart Complaint Management System</w:t>
      </w:r>
    </w:p>
    <w:p>
      <w:pPr>
        <w:jc w:val="center"/>
      </w:pPr>
      <w:r>
        <w:rPr>
          <w:b w:val="0"/>
          <w:i w:val="0"/>
        </w:rPr>
        <w:t>Project ID: 67</w:t>
      </w:r>
    </w:p>
    <w:p>
      <w:pPr>
        <w:jc w:val="center"/>
      </w:pPr>
      <w:r>
        <w:rPr>
          <w:b w:val="0"/>
          <w:i w:val="0"/>
        </w:rPr>
        <w:t>Team Name: Gundu Guru</w:t>
      </w:r>
    </w:p>
    <w:p>
      <w:pPr>
        <w:jc w:val="center"/>
      </w:pPr>
      <w:r>
        <w:rPr>
          <w:b w:val="0"/>
          <w:i w:val="0"/>
        </w:rPr>
        <w:t>PES University – Computer Science and Engineering (AI&amp;ML)</w:t>
      </w:r>
    </w:p>
    <w:p>
      <w:pPr>
        <w:jc w:val="center"/>
      </w:pPr>
      <w:r>
        <w:rPr>
          <w:b w:val="0"/>
          <w:i w:val="0"/>
        </w:rPr>
        <w:t>Version 1.0</w:t>
      </w:r>
    </w:p>
    <w:p>
      <w:pPr>
        <w:jc w:val="center"/>
      </w:pPr>
      <w:r>
        <w:rPr>
          <w:b w:val="0"/>
          <w:i w:val="0"/>
        </w:rPr>
        <w:t>October 2026</w:t>
      </w:r>
    </w:p>
    <w:p>
      <w:r>
        <w:br w:type="page"/>
      </w:r>
    </w:p>
    <w:p>
      <w:pPr>
        <w:pStyle w:val="Heading1"/>
      </w:pPr>
      <w:r>
        <w:t>1. Architecture Overview</w:t>
      </w:r>
    </w:p>
    <w:p>
      <w:pPr>
        <w:jc w:val="left"/>
      </w:pPr>
      <w:r>
        <w:rPr>
          <w:b w:val="0"/>
          <w:i w:val="0"/>
        </w:rPr>
        <w:t>This document defines the high-level architecture of the Smart Complaint Management System. It translates the approved software requirements into major software components, their responsibilities, communication paths, and deployment structure. Detailed class design, database schema, API contracts, and implementation-level decisions will be developed in the subsequent software design phase.</w:t>
      </w:r>
    </w:p>
    <w:p>
      <w:pPr>
        <w:pStyle w:val="Heading2"/>
      </w:pPr>
      <w:r>
        <w:t>1.1 Architectural Goals</w:t>
      </w:r>
    </w:p>
    <w:p>
      <w:pPr>
        <w:pStyle w:val="ListBullet"/>
      </w:pPr>
      <w:r>
        <w:t>Provide clear separation of concerns between the user interface, application logic, data access, and external services.</w:t>
      </w:r>
    </w:p>
    <w:p>
      <w:pPr>
        <w:pStyle w:val="ListBullet"/>
      </w:pPr>
      <w:r>
        <w:t>Support the complaint lifecycle from submission through assignment, SLA monitoring, escalation, and resolution.</w:t>
      </w:r>
    </w:p>
    <w:p>
      <w:pPr>
        <w:pStyle w:val="ListBullet"/>
      </w:pPr>
      <w:r>
        <w:t>Enforce role-based access and protect administrative and staff operations.</w:t>
      </w:r>
    </w:p>
    <w:p>
      <w:pPr>
        <w:pStyle w:val="ListBullet"/>
      </w:pPr>
      <w:r>
        <w:t>Allow notification delivery through in-app notifications and configurable external channels.</w:t>
      </w:r>
    </w:p>
    <w:p>
      <w:pPr>
        <w:pStyle w:val="ListBullet"/>
      </w:pPr>
      <w:r>
        <w:t>Support incremental development by four team members with clear module ownership.</w:t>
      </w:r>
    </w:p>
    <w:p>
      <w:pPr>
        <w:pStyle w:val="ListBullet"/>
      </w:pPr>
      <w:r>
        <w:t>Support testing, CI/CD, maintainability, and future extension without redesigning the entire system.</w:t>
      </w:r>
    </w:p>
    <w:p>
      <w:pPr>
        <w:pStyle w:val="Heading1"/>
      </w:pPr>
      <w:r>
        <w:t>2. System Context</w:t>
      </w:r>
    </w:p>
    <w:p>
      <w:r>
        <w:drawing>
          <wp:inline xmlns:a="http://schemas.openxmlformats.org/drawingml/2006/main" xmlns:pic="http://schemas.openxmlformats.org/drawingml/2006/picture">
            <wp:extent cx="6217920" cy="3660438"/>
            <wp:docPr id="1" name="Picture 1"/>
            <wp:cNvGraphicFramePr>
              <a:graphicFrameLocks noChangeAspect="1"/>
            </wp:cNvGraphicFramePr>
            <a:graphic>
              <a:graphicData uri="http://schemas.openxmlformats.org/drawingml/2006/picture">
                <pic:pic>
                  <pic:nvPicPr>
                    <pic:cNvPr id="0" name="architecture_context_final.png"/>
                    <pic:cNvPicPr/>
                  </pic:nvPicPr>
                  <pic:blipFill>
                    <a:blip r:embed="rId9"/>
                    <a:stretch>
                      <a:fillRect/>
                    </a:stretch>
                  </pic:blipFill>
                  <pic:spPr>
                    <a:xfrm>
                      <a:off x="0" y="0"/>
                      <a:ext cx="6217920" cy="3660438"/>
                    </a:xfrm>
                    <a:prstGeom prst="rect"/>
                  </pic:spPr>
                </pic:pic>
              </a:graphicData>
            </a:graphic>
          </wp:inline>
        </w:drawing>
      </w:r>
    </w:p>
    <w:p>
      <w:pPr>
        <w:jc w:val="center"/>
      </w:pPr>
      <w:r>
        <w:rPr>
          <w:b w:val="0"/>
          <w:i/>
        </w:rPr>
        <w:t>Figure 1. System context diagram</w:t>
      </w:r>
    </w:p>
    <w:p>
      <w:pPr>
        <w:jc w:val="left"/>
      </w:pPr>
      <w:r>
        <w:rPr>
          <w:b w:val="0"/>
          <w:i w:val="0"/>
        </w:rPr>
        <w:t>The system is accessed by three primary human roles: User, Staff/Resolver, and Administrator. External notification providers are treated as integrations rather than core complaint-processing components. The web client communicates with the application through HTTP/HTTPS, while the notification service communicates with configured providers through their supported interfaces.</w:t>
      </w:r>
    </w:p>
    <w:p>
      <w:pPr>
        <w:pStyle w:val="Heading1"/>
      </w:pPr>
      <w:r>
        <w:t>3. Architectural Style</w:t>
      </w:r>
    </w:p>
    <w:p>
      <w:pPr>
        <w:pStyle w:val="Heading2"/>
      </w:pPr>
      <w:r>
        <w:t>3.1 Selected Style: Layered Modular Web Architecture</w:t>
      </w:r>
    </w:p>
    <w:p>
      <w:pPr>
        <w:jc w:val="left"/>
      </w:pPr>
      <w:r>
        <w:rPr>
          <w:b w:val="0"/>
          <w:i w:val="0"/>
        </w:rPr>
        <w:t>The system will use a layered, modular web architecture. A web frontend handles presentation, a backend REST API coordinates application behavior, domain-oriented services implement business functions, a repository/data-access layer isolates persistence concerns, and a relational database stores system data. External messaging providers are accessed through the notification service.</w:t>
      </w:r>
    </w:p>
    <w:p>
      <w:pPr>
        <w:pStyle w:val="Heading2"/>
      </w:pPr>
      <w:r>
        <w:t>3.2 Why This Style</w:t>
      </w:r>
    </w:p>
    <w:p>
      <w:pPr>
        <w:pStyle w:val="ListBullet"/>
      </w:pPr>
      <w:r>
        <w:t>It matches the web-based nature of the project described in the SRS.</w:t>
      </w:r>
    </w:p>
    <w:p>
      <w:pPr>
        <w:pStyle w:val="ListBullet"/>
      </w:pPr>
      <w:r>
        <w:t>It keeps business rules independent from the user interface.</w:t>
      </w:r>
    </w:p>
    <w:p>
      <w:pPr>
        <w:pStyle w:val="ListBullet"/>
      </w:pPr>
      <w:r>
        <w:t>It allows each functional area to be developed and tested separately.</w:t>
      </w:r>
    </w:p>
    <w:p>
      <w:pPr>
        <w:pStyle w:val="ListBullet"/>
      </w:pPr>
      <w:r>
        <w:t>It supports role-based authorization at the backend boundary.</w:t>
      </w:r>
    </w:p>
    <w:p>
      <w:pPr>
        <w:pStyle w:val="ListBullet"/>
      </w:pPr>
      <w:r>
        <w:t>It makes external notification integrations replaceable or configurable.</w:t>
      </w:r>
    </w:p>
    <w:p>
      <w:pPr>
        <w:pStyle w:val="ListBullet"/>
      </w:pPr>
      <w:r>
        <w:t>It is simple enough for a student mini-project while still demonstrating modular design.</w:t>
      </w:r>
    </w:p>
    <w:p>
      <w:pPr>
        <w:pStyle w:val="Heading1"/>
      </w:pPr>
      <w:r>
        <w:t>4. Major Components</w:t>
      </w:r>
    </w:p>
    <w:p>
      <w:r>
        <w:drawing>
          <wp:inline xmlns:a="http://schemas.openxmlformats.org/drawingml/2006/main" xmlns:pic="http://schemas.openxmlformats.org/drawingml/2006/picture">
            <wp:extent cx="6217920" cy="4162734"/>
            <wp:docPr id="2" name="Picture 2"/>
            <wp:cNvGraphicFramePr>
              <a:graphicFrameLocks noChangeAspect="1"/>
            </wp:cNvGraphicFramePr>
            <a:graphic>
              <a:graphicData uri="http://schemas.openxmlformats.org/drawingml/2006/picture">
                <pic:pic>
                  <pic:nvPicPr>
                    <pic:cNvPr id="0" name="architecture_component_final.png"/>
                    <pic:cNvPicPr/>
                  </pic:nvPicPr>
                  <pic:blipFill>
                    <a:blip r:embed="rId10"/>
                    <a:stretch>
                      <a:fillRect/>
                    </a:stretch>
                  </pic:blipFill>
                  <pic:spPr>
                    <a:xfrm>
                      <a:off x="0" y="0"/>
                      <a:ext cx="6217920" cy="4162734"/>
                    </a:xfrm>
                    <a:prstGeom prst="rect"/>
                  </pic:spPr>
                </pic:pic>
              </a:graphicData>
            </a:graphic>
          </wp:inline>
        </w:drawing>
      </w:r>
    </w:p>
    <w:p>
      <w:pPr>
        <w:jc w:val="center"/>
      </w:pPr>
      <w:r>
        <w:rPr>
          <w:b w:val="0"/>
          <w:i/>
        </w:rPr>
        <w:t>Figure 2. High-level component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b/>
                <w:sz w:val="19"/>
              </w:rPr>
              <w:t>Component</w:t>
            </w:r>
          </w:p>
        </w:tc>
        <w:tc>
          <w:tcPr>
            <w:tcW w:type="dxa" w:w="3360"/>
          </w:tcPr>
          <w:p>
            <w:r>
              <w:rPr>
                <w:rFonts w:ascii="Times New Roman" w:hAnsi="Times New Roman"/>
                <w:b/>
                <w:sz w:val="19"/>
              </w:rPr>
              <w:t>Main Responsibility</w:t>
            </w:r>
          </w:p>
        </w:tc>
        <w:tc>
          <w:tcPr>
            <w:tcW w:type="dxa" w:w="3360"/>
          </w:tcPr>
          <w:p>
            <w:r>
              <w:rPr>
                <w:rFonts w:ascii="Times New Roman" w:hAnsi="Times New Roman"/>
                <w:b/>
                <w:sz w:val="19"/>
              </w:rPr>
              <w:t>Primary SRS Functions</w:t>
            </w:r>
          </w:p>
        </w:tc>
      </w:tr>
      <w:tr>
        <w:tc>
          <w:tcPr>
            <w:tcW w:type="dxa" w:w="3360"/>
          </w:tcPr>
          <w:p>
            <w:r>
              <w:rPr>
                <w:rFonts w:ascii="Times New Roman" w:hAnsi="Times New Roman"/>
                <w:sz w:val="18"/>
              </w:rPr>
              <w:t>Web Frontend</w:t>
            </w:r>
          </w:p>
        </w:tc>
        <w:tc>
          <w:tcPr>
            <w:tcW w:type="dxa" w:w="3360"/>
          </w:tcPr>
          <w:p>
            <w:r>
              <w:rPr>
                <w:rFonts w:ascii="Times New Roman" w:hAnsi="Times New Roman"/>
                <w:sz w:val="18"/>
              </w:rPr>
              <w:t>Presentation, forms, dashboards, user interaction.</w:t>
            </w:r>
          </w:p>
        </w:tc>
        <w:tc>
          <w:tcPr>
            <w:tcW w:type="dxa" w:w="3360"/>
          </w:tcPr>
          <w:p>
            <w:r>
              <w:rPr>
                <w:rFonts w:ascii="Times New Roman" w:hAnsi="Times New Roman"/>
                <w:sz w:val="18"/>
              </w:rPr>
              <w:t>FR-01–FR-24 user-facing interactions</w:t>
            </w:r>
          </w:p>
        </w:tc>
      </w:tr>
      <w:tr>
        <w:tc>
          <w:tcPr>
            <w:tcW w:type="dxa" w:w="3360"/>
          </w:tcPr>
          <w:p>
            <w:r>
              <w:rPr>
                <w:rFonts w:ascii="Times New Roman" w:hAnsi="Times New Roman"/>
                <w:sz w:val="18"/>
              </w:rPr>
              <w:t>Backend REST API</w:t>
            </w:r>
          </w:p>
        </w:tc>
        <w:tc>
          <w:tcPr>
            <w:tcW w:type="dxa" w:w="3360"/>
          </w:tcPr>
          <w:p>
            <w:r>
              <w:rPr>
                <w:rFonts w:ascii="Times New Roman" w:hAnsi="Times New Roman"/>
                <w:sz w:val="18"/>
              </w:rPr>
              <w:t>Request handling, authentication checks, orchestration, validation.</w:t>
            </w:r>
          </w:p>
        </w:tc>
        <w:tc>
          <w:tcPr>
            <w:tcW w:type="dxa" w:w="3360"/>
          </w:tcPr>
          <w:p>
            <w:r>
              <w:rPr>
                <w:rFonts w:ascii="Times New Roman" w:hAnsi="Times New Roman"/>
                <w:sz w:val="18"/>
              </w:rPr>
              <w:t>FR-01–FR-24</w:t>
            </w:r>
          </w:p>
        </w:tc>
      </w:tr>
      <w:tr>
        <w:tc>
          <w:tcPr>
            <w:tcW w:type="dxa" w:w="3360"/>
          </w:tcPr>
          <w:p>
            <w:r>
              <w:rPr>
                <w:rFonts w:ascii="Times New Roman" w:hAnsi="Times New Roman"/>
                <w:sz w:val="18"/>
              </w:rPr>
              <w:t>Authentication Service</w:t>
            </w:r>
          </w:p>
        </w:tc>
        <w:tc>
          <w:tcPr>
            <w:tcW w:type="dxa" w:w="3360"/>
          </w:tcPr>
          <w:p>
            <w:r>
              <w:rPr>
                <w:rFonts w:ascii="Times New Roman" w:hAnsi="Times New Roman"/>
                <w:sz w:val="18"/>
              </w:rPr>
              <w:t>Registration, login, password handling, role checks.</w:t>
            </w:r>
          </w:p>
        </w:tc>
        <w:tc>
          <w:tcPr>
            <w:tcW w:type="dxa" w:w="3360"/>
          </w:tcPr>
          <w:p>
            <w:r>
              <w:rPr>
                <w:rFonts w:ascii="Times New Roman" w:hAnsi="Times New Roman"/>
                <w:sz w:val="18"/>
              </w:rPr>
              <w:t>FR-01–FR-04, NFR-04–NFR-06</w:t>
            </w:r>
          </w:p>
        </w:tc>
      </w:tr>
      <w:tr>
        <w:tc>
          <w:tcPr>
            <w:tcW w:type="dxa" w:w="3360"/>
          </w:tcPr>
          <w:p>
            <w:r>
              <w:rPr>
                <w:rFonts w:ascii="Times New Roman" w:hAnsi="Times New Roman"/>
                <w:sz w:val="18"/>
              </w:rPr>
              <w:t>Complaint Service</w:t>
            </w:r>
          </w:p>
        </w:tc>
        <w:tc>
          <w:tcPr>
            <w:tcW w:type="dxa" w:w="3360"/>
          </w:tcPr>
          <w:p>
            <w:r>
              <w:rPr>
                <w:rFonts w:ascii="Times New Roman" w:hAnsi="Times New Roman"/>
                <w:sz w:val="18"/>
              </w:rPr>
              <w:t>Complaint creation, categorization, priority, tracking, status history.</w:t>
            </w:r>
          </w:p>
        </w:tc>
        <w:tc>
          <w:tcPr>
            <w:tcW w:type="dxa" w:w="3360"/>
          </w:tcPr>
          <w:p>
            <w:r>
              <w:rPr>
                <w:rFonts w:ascii="Times New Roman" w:hAnsi="Times New Roman"/>
                <w:sz w:val="18"/>
              </w:rPr>
              <w:t>FR-05–FR-11, FR-13–FR-15</w:t>
            </w:r>
          </w:p>
        </w:tc>
      </w:tr>
      <w:tr>
        <w:tc>
          <w:tcPr>
            <w:tcW w:type="dxa" w:w="3360"/>
          </w:tcPr>
          <w:p>
            <w:r>
              <w:rPr>
                <w:rFonts w:ascii="Times New Roman" w:hAnsi="Times New Roman"/>
                <w:sz w:val="18"/>
              </w:rPr>
              <w:t>Assignment / SLA / Escalation Service</w:t>
            </w:r>
          </w:p>
        </w:tc>
        <w:tc>
          <w:tcPr>
            <w:tcW w:type="dxa" w:w="3360"/>
          </w:tcPr>
          <w:p>
            <w:r>
              <w:rPr>
                <w:rFonts w:ascii="Times New Roman" w:hAnsi="Times New Roman"/>
                <w:sz w:val="18"/>
              </w:rPr>
              <w:t>Assignment, deadlines, SLA monitoring, escalation rules.</w:t>
            </w:r>
          </w:p>
        </w:tc>
        <w:tc>
          <w:tcPr>
            <w:tcW w:type="dxa" w:w="3360"/>
          </w:tcPr>
          <w:p>
            <w:r>
              <w:rPr>
                <w:rFonts w:ascii="Times New Roman" w:hAnsi="Times New Roman"/>
                <w:sz w:val="18"/>
              </w:rPr>
              <w:t>FR-12, FR-16–FR-19</w:t>
            </w:r>
          </w:p>
        </w:tc>
      </w:tr>
      <w:tr>
        <w:tc>
          <w:tcPr>
            <w:tcW w:type="dxa" w:w="3360"/>
          </w:tcPr>
          <w:p>
            <w:r>
              <w:rPr>
                <w:rFonts w:ascii="Times New Roman" w:hAnsi="Times New Roman"/>
                <w:sz w:val="18"/>
              </w:rPr>
              <w:t>Notification Service</w:t>
            </w:r>
          </w:p>
        </w:tc>
        <w:tc>
          <w:tcPr>
            <w:tcW w:type="dxa" w:w="3360"/>
          </w:tcPr>
          <w:p>
            <w:r>
              <w:rPr>
                <w:rFonts w:ascii="Times New Roman" w:hAnsi="Times New Roman"/>
                <w:sz w:val="18"/>
              </w:rPr>
              <w:t>In-app notifications and adapters for configured external channels.</w:t>
            </w:r>
          </w:p>
        </w:tc>
        <w:tc>
          <w:tcPr>
            <w:tcW w:type="dxa" w:w="3360"/>
          </w:tcPr>
          <w:p>
            <w:r>
              <w:rPr>
                <w:rFonts w:ascii="Times New Roman" w:hAnsi="Times New Roman"/>
                <w:sz w:val="18"/>
              </w:rPr>
              <w:t>FR-20–FR-21</w:t>
            </w:r>
          </w:p>
        </w:tc>
      </w:tr>
      <w:tr>
        <w:tc>
          <w:tcPr>
            <w:tcW w:type="dxa" w:w="3360"/>
          </w:tcPr>
          <w:p>
            <w:r>
              <w:rPr>
                <w:rFonts w:ascii="Times New Roman" w:hAnsi="Times New Roman"/>
                <w:sz w:val="18"/>
              </w:rPr>
              <w:t>Dashboard &amp; Reporting</w:t>
            </w:r>
          </w:p>
        </w:tc>
        <w:tc>
          <w:tcPr>
            <w:tcW w:type="dxa" w:w="3360"/>
          </w:tcPr>
          <w:p>
            <w:r>
              <w:rPr>
                <w:rFonts w:ascii="Times New Roman" w:hAnsi="Times New Roman"/>
                <w:sz w:val="18"/>
              </w:rPr>
              <w:t>Administrative summaries, filtering, reporting.</w:t>
            </w:r>
          </w:p>
        </w:tc>
        <w:tc>
          <w:tcPr>
            <w:tcW w:type="dxa" w:w="3360"/>
          </w:tcPr>
          <w:p>
            <w:r>
              <w:rPr>
                <w:rFonts w:ascii="Times New Roman" w:hAnsi="Times New Roman"/>
                <w:sz w:val="18"/>
              </w:rPr>
              <w:t>FR-22–FR-24</w:t>
            </w:r>
          </w:p>
        </w:tc>
      </w:tr>
      <w:tr>
        <w:tc>
          <w:tcPr>
            <w:tcW w:type="dxa" w:w="3360"/>
          </w:tcPr>
          <w:p>
            <w:r>
              <w:rPr>
                <w:rFonts w:ascii="Times New Roman" w:hAnsi="Times New Roman"/>
                <w:sz w:val="18"/>
              </w:rPr>
              <w:t>Data Access / Repository</w:t>
            </w:r>
          </w:p>
        </w:tc>
        <w:tc>
          <w:tcPr>
            <w:tcW w:type="dxa" w:w="3360"/>
          </w:tcPr>
          <w:p>
            <w:r>
              <w:rPr>
                <w:rFonts w:ascii="Times New Roman" w:hAnsi="Times New Roman"/>
                <w:sz w:val="18"/>
              </w:rPr>
              <w:t>Persistence abstraction and database access.</w:t>
            </w:r>
          </w:p>
        </w:tc>
        <w:tc>
          <w:tcPr>
            <w:tcW w:type="dxa" w:w="3360"/>
          </w:tcPr>
          <w:p>
            <w:r>
              <w:rPr>
                <w:rFonts w:ascii="Times New Roman" w:hAnsi="Times New Roman"/>
                <w:sz w:val="18"/>
              </w:rPr>
              <w:t>Data requirements</w:t>
            </w:r>
          </w:p>
        </w:tc>
      </w:tr>
      <w:tr>
        <w:tc>
          <w:tcPr>
            <w:tcW w:type="dxa" w:w="3360"/>
          </w:tcPr>
          <w:p>
            <w:r>
              <w:rPr>
                <w:rFonts w:ascii="Times New Roman" w:hAnsi="Times New Roman"/>
                <w:sz w:val="18"/>
              </w:rPr>
              <w:t>Background Jobs / Scheduler</w:t>
            </w:r>
          </w:p>
        </w:tc>
        <w:tc>
          <w:tcPr>
            <w:tcW w:type="dxa" w:w="3360"/>
          </w:tcPr>
          <w:p>
            <w:r>
              <w:rPr>
                <w:rFonts w:ascii="Times New Roman" w:hAnsi="Times New Roman"/>
                <w:sz w:val="18"/>
              </w:rPr>
              <w:t>Periodic SLA checks and other non-request processing.</w:t>
            </w:r>
          </w:p>
        </w:tc>
        <w:tc>
          <w:tcPr>
            <w:tcW w:type="dxa" w:w="3360"/>
          </w:tcPr>
          <w:p>
            <w:r>
              <w:rPr>
                <w:rFonts w:ascii="Times New Roman" w:hAnsi="Times New Roman"/>
                <w:sz w:val="18"/>
              </w:rPr>
              <w:t>FR-17–FR-18</w:t>
            </w:r>
          </w:p>
        </w:tc>
      </w:tr>
      <w:tr>
        <w:tc>
          <w:tcPr>
            <w:tcW w:type="dxa" w:w="3360"/>
          </w:tcPr>
          <w:p>
            <w:r>
              <w:rPr>
                <w:rFonts w:ascii="Times New Roman" w:hAnsi="Times New Roman"/>
                <w:sz w:val="18"/>
              </w:rPr>
              <w:t>PostgreSQL Database</w:t>
            </w:r>
          </w:p>
        </w:tc>
        <w:tc>
          <w:tcPr>
            <w:tcW w:type="dxa" w:w="3360"/>
          </w:tcPr>
          <w:p>
            <w:r>
              <w:rPr>
                <w:rFonts w:ascii="Times New Roman" w:hAnsi="Times New Roman"/>
                <w:sz w:val="18"/>
              </w:rPr>
              <w:t>Persistent storage of users, complaints, assignments, SLA data, notifications, and resolution data.</w:t>
            </w:r>
          </w:p>
        </w:tc>
        <w:tc>
          <w:tcPr>
            <w:tcW w:type="dxa" w:w="3360"/>
          </w:tcPr>
          <w:p>
            <w:r>
              <w:rPr>
                <w:rFonts w:ascii="Times New Roman" w:hAnsi="Times New Roman"/>
                <w:sz w:val="18"/>
              </w:rPr>
              <w:t>Data requirements</w:t>
            </w:r>
          </w:p>
        </w:tc>
      </w:tr>
    </w:tbl>
    <w:p>
      <w:pPr>
        <w:pStyle w:val="Heading1"/>
      </w:pPr>
      <w:r>
        <w:t>5. Component Interaction and Workflow</w:t>
      </w:r>
    </w:p>
    <w:p>
      <w:pPr>
        <w:pStyle w:val="Heading2"/>
      </w:pPr>
      <w:r>
        <w:t>5.1 Complaint Submission</w:t>
      </w:r>
    </w:p>
    <w:p>
      <w:pPr>
        <w:jc w:val="left"/>
      </w:pPr>
      <w:r>
        <w:rPr>
          <w:b w:val="0"/>
          <w:i w:val="0"/>
        </w:rPr>
        <w:t>User → Web Frontend → Backend REST API → Complaint Service → Data Access Layer → PostgreSQL Database. The backend validates the request, applies category/priority rules, stores the complaint, and returns the created complaint record.</w:t>
      </w:r>
    </w:p>
    <w:p>
      <w:pPr>
        <w:pStyle w:val="Heading2"/>
      </w:pPr>
      <w:r>
        <w:t>5.2 Assignment and Resolution</w:t>
      </w:r>
    </w:p>
    <w:p>
      <w:pPr>
        <w:jc w:val="left"/>
      </w:pPr>
      <w:r>
        <w:rPr>
          <w:b w:val="0"/>
          <w:i w:val="0"/>
        </w:rPr>
        <w:t>Administrator/Staff → Web Frontend → Backend REST API → Assignment / Complaint Service → Database. Assignment and status changes are authorized by role and recorded in status history.</w:t>
      </w:r>
    </w:p>
    <w:p>
      <w:pPr>
        <w:pStyle w:val="Heading2"/>
      </w:pPr>
      <w:r>
        <w:t>5.3 SLA and Escalation</w:t>
      </w:r>
    </w:p>
    <w:p>
      <w:pPr>
        <w:jc w:val="left"/>
      </w:pPr>
      <w:r>
        <w:rPr>
          <w:b w:val="0"/>
          <w:i w:val="0"/>
        </w:rPr>
        <w:t>Background Scheduler → SLA/Escalation Service → Data Access Layer → Database. The scheduler checks eligible complaints and applies escalation rules. An escalation event is then passed to the Notification Service when a notification is required.</w:t>
      </w:r>
    </w:p>
    <w:p>
      <w:pPr>
        <w:pStyle w:val="Heading2"/>
      </w:pPr>
      <w:r>
        <w:t>5.4 Notifications</w:t>
      </w:r>
    </w:p>
    <w:p>
      <w:pPr>
        <w:jc w:val="left"/>
      </w:pPr>
      <w:r>
        <w:rPr>
          <w:b w:val="0"/>
          <w:i w:val="0"/>
        </w:rPr>
        <w:t>Application event → Notification Service → In-app notification store and, where configured, external notification providers such as email, SMS, and WhatsApp. The notification service keeps provider-specific integration details separate from complaint-processing logic.</w:t>
      </w:r>
    </w:p>
    <w:p>
      <w:pPr>
        <w:pStyle w:val="Heading1"/>
      </w:pPr>
      <w:r>
        <w:t>6. Security Architecture</w:t>
      </w:r>
    </w:p>
    <w:p>
      <w:pPr>
        <w:pStyle w:val="ListBullet"/>
      </w:pPr>
      <w:r>
        <w:t>Authentication is performed before access to protected operations.</w:t>
      </w:r>
    </w:p>
    <w:p>
      <w:pPr>
        <w:pStyle w:val="ListBullet"/>
      </w:pPr>
      <w:r>
        <w:t>Role-based authorization distinguishes User, Staff/Resolver, and Administrator permissions.</w:t>
      </w:r>
    </w:p>
    <w:p>
      <w:pPr>
        <w:pStyle w:val="ListBullet"/>
      </w:pPr>
      <w:r>
        <w:t>Passwords are stored using secure password hashing rather than plaintext.</w:t>
      </w:r>
    </w:p>
    <w:p>
      <w:pPr>
        <w:pStyle w:val="ListBullet"/>
      </w:pPr>
      <w:r>
        <w:t>Input validation occurs at the API boundary and relevant service layer.</w:t>
      </w:r>
    </w:p>
    <w:p>
      <w:pPr>
        <w:pStyle w:val="ListBullet"/>
      </w:pPr>
      <w:r>
        <w:t>Administrative operations are restricted by authorization checks.</w:t>
      </w:r>
    </w:p>
    <w:p>
      <w:pPr>
        <w:pStyle w:val="ListBullet"/>
      </w:pPr>
      <w:r>
        <w:t>External notification credentials are kept outside source code and supplied through secure configuration.</w:t>
      </w:r>
    </w:p>
    <w:p>
      <w:pPr>
        <w:jc w:val="left"/>
      </w:pPr>
      <w:r>
        <w:rPr>
          <w:b w:val="0"/>
          <w:i w:val="0"/>
        </w:rPr>
        <w:t>Security architecture will be refined during detailed design and security validation; this document defines the high-level control boundaries.</w:t>
      </w:r>
    </w:p>
    <w:p>
      <w:pPr>
        <w:pStyle w:val="Heading1"/>
      </w:pPr>
      <w:r>
        <w:t>7. Data Architecture – High Level</w:t>
      </w:r>
    </w:p>
    <w:p>
      <w:pPr>
        <w:jc w:val="left"/>
      </w:pPr>
      <w:r>
        <w:rPr>
          <w:b w:val="0"/>
          <w:i w:val="0"/>
        </w:rPr>
        <w:t>The system uses a relational database. The high-level logical data groups are User, Complaint, Category, Assignment, Status History, SLA, Notification, and Resolution. These groups correspond to the data requirements established in the SRS. The exact tables, keys, indexes, foreign-key constraints, and normalization decisions will be specified in the Software Design Document.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Times New Roman" w:hAnsi="Times New Roman"/>
                <w:b/>
                <w:sz w:val="19"/>
              </w:rPr>
              <w:t>Data Group</w:t>
            </w:r>
          </w:p>
        </w:tc>
        <w:tc>
          <w:tcPr>
            <w:tcW w:type="dxa" w:w="5040"/>
          </w:tcPr>
          <w:p>
            <w:r>
              <w:rPr>
                <w:rFonts w:ascii="Times New Roman" w:hAnsi="Times New Roman"/>
                <w:b/>
                <w:sz w:val="19"/>
              </w:rPr>
              <w:t>Used By</w:t>
            </w:r>
          </w:p>
        </w:tc>
      </w:tr>
      <w:tr>
        <w:tc>
          <w:tcPr>
            <w:tcW w:type="dxa" w:w="5040"/>
          </w:tcPr>
          <w:p>
            <w:r>
              <w:rPr>
                <w:rFonts w:ascii="Times New Roman" w:hAnsi="Times New Roman"/>
                <w:sz w:val="18"/>
              </w:rPr>
              <w:t>User / Role</w:t>
            </w:r>
          </w:p>
        </w:tc>
        <w:tc>
          <w:tcPr>
            <w:tcW w:type="dxa" w:w="5040"/>
          </w:tcPr>
          <w:p>
            <w:r>
              <w:rPr>
                <w:rFonts w:ascii="Times New Roman" w:hAnsi="Times New Roman"/>
                <w:sz w:val="18"/>
              </w:rPr>
              <w:t>Authentication, authorization, assignment</w:t>
            </w:r>
          </w:p>
        </w:tc>
      </w:tr>
      <w:tr>
        <w:tc>
          <w:tcPr>
            <w:tcW w:type="dxa" w:w="5040"/>
          </w:tcPr>
          <w:p>
            <w:r>
              <w:rPr>
                <w:rFonts w:ascii="Times New Roman" w:hAnsi="Times New Roman"/>
                <w:sz w:val="18"/>
              </w:rPr>
              <w:t>Complaint</w:t>
            </w:r>
          </w:p>
        </w:tc>
        <w:tc>
          <w:tcPr>
            <w:tcW w:type="dxa" w:w="5040"/>
          </w:tcPr>
          <w:p>
            <w:r>
              <w:rPr>
                <w:rFonts w:ascii="Times New Roman" w:hAnsi="Times New Roman"/>
                <w:sz w:val="18"/>
              </w:rPr>
              <w:t>Complaint Service, tracking, reporting</w:t>
            </w:r>
          </w:p>
        </w:tc>
      </w:tr>
      <w:tr>
        <w:tc>
          <w:tcPr>
            <w:tcW w:type="dxa" w:w="5040"/>
          </w:tcPr>
          <w:p>
            <w:r>
              <w:rPr>
                <w:rFonts w:ascii="Times New Roman" w:hAnsi="Times New Roman"/>
                <w:sz w:val="18"/>
              </w:rPr>
              <w:t>Category / Priority</w:t>
            </w:r>
          </w:p>
        </w:tc>
        <w:tc>
          <w:tcPr>
            <w:tcW w:type="dxa" w:w="5040"/>
          </w:tcPr>
          <w:p>
            <w:r>
              <w:rPr>
                <w:rFonts w:ascii="Times New Roman" w:hAnsi="Times New Roman"/>
                <w:sz w:val="18"/>
              </w:rPr>
              <w:t>Complaint Service, administration</w:t>
            </w:r>
          </w:p>
        </w:tc>
      </w:tr>
      <w:tr>
        <w:tc>
          <w:tcPr>
            <w:tcW w:type="dxa" w:w="5040"/>
          </w:tcPr>
          <w:p>
            <w:r>
              <w:rPr>
                <w:rFonts w:ascii="Times New Roman" w:hAnsi="Times New Roman"/>
                <w:sz w:val="18"/>
              </w:rPr>
              <w:t>Assignment</w:t>
            </w:r>
          </w:p>
        </w:tc>
        <w:tc>
          <w:tcPr>
            <w:tcW w:type="dxa" w:w="5040"/>
          </w:tcPr>
          <w:p>
            <w:r>
              <w:rPr>
                <w:rFonts w:ascii="Times New Roman" w:hAnsi="Times New Roman"/>
                <w:sz w:val="18"/>
              </w:rPr>
              <w:t>Assignment/SLA Service, staff dashboard</w:t>
            </w:r>
          </w:p>
        </w:tc>
      </w:tr>
      <w:tr>
        <w:tc>
          <w:tcPr>
            <w:tcW w:type="dxa" w:w="5040"/>
          </w:tcPr>
          <w:p>
            <w:r>
              <w:rPr>
                <w:rFonts w:ascii="Times New Roman" w:hAnsi="Times New Roman"/>
                <w:sz w:val="18"/>
              </w:rPr>
              <w:t>Status History</w:t>
            </w:r>
          </w:p>
        </w:tc>
        <w:tc>
          <w:tcPr>
            <w:tcW w:type="dxa" w:w="5040"/>
          </w:tcPr>
          <w:p>
            <w:r>
              <w:rPr>
                <w:rFonts w:ascii="Times New Roman" w:hAnsi="Times New Roman"/>
                <w:sz w:val="18"/>
              </w:rPr>
              <w:t>Tracking, auditability, reporting</w:t>
            </w:r>
          </w:p>
        </w:tc>
      </w:tr>
      <w:tr>
        <w:tc>
          <w:tcPr>
            <w:tcW w:type="dxa" w:w="5040"/>
          </w:tcPr>
          <w:p>
            <w:r>
              <w:rPr>
                <w:rFonts w:ascii="Times New Roman" w:hAnsi="Times New Roman"/>
                <w:sz w:val="18"/>
              </w:rPr>
              <w:t>SLA</w:t>
            </w:r>
          </w:p>
        </w:tc>
        <w:tc>
          <w:tcPr>
            <w:tcW w:type="dxa" w:w="5040"/>
          </w:tcPr>
          <w:p>
            <w:r>
              <w:rPr>
                <w:rFonts w:ascii="Times New Roman" w:hAnsi="Times New Roman"/>
                <w:sz w:val="18"/>
              </w:rPr>
              <w:t>SLA monitoring and escalation</w:t>
            </w:r>
          </w:p>
        </w:tc>
      </w:tr>
      <w:tr>
        <w:tc>
          <w:tcPr>
            <w:tcW w:type="dxa" w:w="5040"/>
          </w:tcPr>
          <w:p>
            <w:r>
              <w:rPr>
                <w:rFonts w:ascii="Times New Roman" w:hAnsi="Times New Roman"/>
                <w:sz w:val="18"/>
              </w:rPr>
              <w:t>Notification</w:t>
            </w:r>
          </w:p>
        </w:tc>
        <w:tc>
          <w:tcPr>
            <w:tcW w:type="dxa" w:w="5040"/>
          </w:tcPr>
          <w:p>
            <w:r>
              <w:rPr>
                <w:rFonts w:ascii="Times New Roman" w:hAnsi="Times New Roman"/>
                <w:sz w:val="18"/>
              </w:rPr>
              <w:t>Notification Service and in-app notification UI</w:t>
            </w:r>
          </w:p>
        </w:tc>
      </w:tr>
      <w:tr>
        <w:tc>
          <w:tcPr>
            <w:tcW w:type="dxa" w:w="5040"/>
          </w:tcPr>
          <w:p>
            <w:r>
              <w:rPr>
                <w:rFonts w:ascii="Times New Roman" w:hAnsi="Times New Roman"/>
                <w:sz w:val="18"/>
              </w:rPr>
              <w:t>Resolution</w:t>
            </w:r>
          </w:p>
        </w:tc>
        <w:tc>
          <w:tcPr>
            <w:tcW w:type="dxa" w:w="5040"/>
          </w:tcPr>
          <w:p>
            <w:r>
              <w:rPr>
                <w:rFonts w:ascii="Times New Roman" w:hAnsi="Times New Roman"/>
                <w:sz w:val="18"/>
              </w:rPr>
              <w:t>Complaint resolution and reporting</w:t>
            </w:r>
          </w:p>
        </w:tc>
      </w:tr>
    </w:tbl>
    <w:p>
      <w:pPr>
        <w:pStyle w:val="Heading1"/>
      </w:pPr>
      <w:r>
        <w:t>8. Deployment Architecture</w:t>
      </w:r>
    </w:p>
    <w:p>
      <w:r>
        <w:drawing>
          <wp:inline xmlns:a="http://schemas.openxmlformats.org/drawingml/2006/main" xmlns:pic="http://schemas.openxmlformats.org/drawingml/2006/picture">
            <wp:extent cx="6217920" cy="3660438"/>
            <wp:docPr id="3" name="Picture 3"/>
            <wp:cNvGraphicFramePr>
              <a:graphicFrameLocks noChangeAspect="1"/>
            </wp:cNvGraphicFramePr>
            <a:graphic>
              <a:graphicData uri="http://schemas.openxmlformats.org/drawingml/2006/picture">
                <pic:pic>
                  <pic:nvPicPr>
                    <pic:cNvPr id="0" name="architecture_deployment_final.png"/>
                    <pic:cNvPicPr/>
                  </pic:nvPicPr>
                  <pic:blipFill>
                    <a:blip r:embed="rId11"/>
                    <a:stretch>
                      <a:fillRect/>
                    </a:stretch>
                  </pic:blipFill>
                  <pic:spPr>
                    <a:xfrm>
                      <a:off x="0" y="0"/>
                      <a:ext cx="6217920" cy="3660438"/>
                    </a:xfrm>
                    <a:prstGeom prst="rect"/>
                  </pic:spPr>
                </pic:pic>
              </a:graphicData>
            </a:graphic>
          </wp:inline>
        </w:drawing>
      </w:r>
    </w:p>
    <w:p>
      <w:pPr>
        <w:jc w:val="center"/>
      </w:pPr>
      <w:r>
        <w:rPr>
          <w:b w:val="0"/>
          <w:i/>
        </w:rPr>
        <w:t>Figure 3. High-level deployment architecture</w:t>
      </w:r>
    </w:p>
    <w:p>
      <w:pPr>
        <w:jc w:val="left"/>
      </w:pPr>
      <w:r>
        <w:rPr>
          <w:b w:val="0"/>
          <w:i w:val="0"/>
        </w:rPr>
        <w:t>The deployment model separates the client browser, web/frontend layer, application server, database, and notification gateway/integrations. Docker will be used to provide consistent environments, and Jenkins will automate build/test/deployment activities according to the project plan.</w:t>
      </w:r>
    </w:p>
    <w:p>
      <w:pPr>
        <w:pStyle w:val="Heading1"/>
      </w:pPr>
      <w:r>
        <w:t>9. Technology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b/>
                <w:sz w:val="19"/>
              </w:rPr>
              <w:t>Layer / Concern</w:t>
            </w:r>
          </w:p>
        </w:tc>
        <w:tc>
          <w:tcPr>
            <w:tcW w:type="dxa" w:w="3360"/>
          </w:tcPr>
          <w:p>
            <w:r>
              <w:rPr>
                <w:rFonts w:ascii="Times New Roman" w:hAnsi="Times New Roman"/>
                <w:b/>
                <w:sz w:val="19"/>
              </w:rPr>
              <w:t>Planned Technology</w:t>
            </w:r>
          </w:p>
        </w:tc>
        <w:tc>
          <w:tcPr>
            <w:tcW w:type="dxa" w:w="3360"/>
          </w:tcPr>
          <w:p>
            <w:r>
              <w:rPr>
                <w:rFonts w:ascii="Times New Roman" w:hAnsi="Times New Roman"/>
                <w:b/>
                <w:sz w:val="19"/>
              </w:rPr>
              <w:t>Reason</w:t>
            </w:r>
          </w:p>
        </w:tc>
      </w:tr>
      <w:tr>
        <w:tc>
          <w:tcPr>
            <w:tcW w:type="dxa" w:w="3360"/>
          </w:tcPr>
          <w:p>
            <w:r>
              <w:rPr>
                <w:rFonts w:ascii="Times New Roman" w:hAnsi="Times New Roman"/>
                <w:sz w:val="18"/>
              </w:rPr>
              <w:t>Frontend</w:t>
            </w:r>
          </w:p>
        </w:tc>
        <w:tc>
          <w:tcPr>
            <w:tcW w:type="dxa" w:w="3360"/>
          </w:tcPr>
          <w:p>
            <w:r>
              <w:rPr>
                <w:rFonts w:ascii="Times New Roman" w:hAnsi="Times New Roman"/>
                <w:sz w:val="18"/>
              </w:rPr>
              <w:t>HTML/CSS/JavaScript or equivalent lightweight web UI</w:t>
            </w:r>
          </w:p>
        </w:tc>
        <w:tc>
          <w:tcPr>
            <w:tcW w:type="dxa" w:w="3360"/>
          </w:tcPr>
          <w:p>
            <w:r>
              <w:rPr>
                <w:rFonts w:ascii="Times New Roman" w:hAnsi="Times New Roman"/>
                <w:sz w:val="18"/>
              </w:rPr>
              <w:t>Simple web interface aligned with project scope.</w:t>
            </w:r>
          </w:p>
        </w:tc>
      </w:tr>
      <w:tr>
        <w:tc>
          <w:tcPr>
            <w:tcW w:type="dxa" w:w="3360"/>
          </w:tcPr>
          <w:p>
            <w:r>
              <w:rPr>
                <w:rFonts w:ascii="Times New Roman" w:hAnsi="Times New Roman"/>
                <w:sz w:val="18"/>
              </w:rPr>
              <w:t>Backend</w:t>
            </w:r>
          </w:p>
        </w:tc>
        <w:tc>
          <w:tcPr>
            <w:tcW w:type="dxa" w:w="3360"/>
          </w:tcPr>
          <w:p>
            <w:r>
              <w:rPr>
                <w:rFonts w:ascii="Times New Roman" w:hAnsi="Times New Roman"/>
                <w:sz w:val="18"/>
              </w:rPr>
              <w:t>Python + FastAPI</w:t>
            </w:r>
          </w:p>
        </w:tc>
        <w:tc>
          <w:tcPr>
            <w:tcW w:type="dxa" w:w="3360"/>
          </w:tcPr>
          <w:p>
            <w:r>
              <w:rPr>
                <w:rFonts w:ascii="Times New Roman" w:hAnsi="Times New Roman"/>
                <w:sz w:val="18"/>
              </w:rPr>
              <w:t>REST API and modular business logic.</w:t>
            </w:r>
          </w:p>
        </w:tc>
      </w:tr>
      <w:tr>
        <w:tc>
          <w:tcPr>
            <w:tcW w:type="dxa" w:w="3360"/>
          </w:tcPr>
          <w:p>
            <w:r>
              <w:rPr>
                <w:rFonts w:ascii="Times New Roman" w:hAnsi="Times New Roman"/>
                <w:sz w:val="18"/>
              </w:rPr>
              <w:t>Database</w:t>
            </w:r>
          </w:p>
        </w:tc>
        <w:tc>
          <w:tcPr>
            <w:tcW w:type="dxa" w:w="3360"/>
          </w:tcPr>
          <w:p>
            <w:r>
              <w:rPr>
                <w:rFonts w:ascii="Times New Roman" w:hAnsi="Times New Roman"/>
                <w:sz w:val="18"/>
              </w:rPr>
              <w:t>PostgreSQL</w:t>
            </w:r>
          </w:p>
        </w:tc>
        <w:tc>
          <w:tcPr>
            <w:tcW w:type="dxa" w:w="3360"/>
          </w:tcPr>
          <w:p>
            <w:r>
              <w:rPr>
                <w:rFonts w:ascii="Times New Roman" w:hAnsi="Times New Roman"/>
                <w:sz w:val="18"/>
              </w:rPr>
              <w:t>Relational persistence for structured complaint data.</w:t>
            </w:r>
          </w:p>
        </w:tc>
      </w:tr>
      <w:tr>
        <w:tc>
          <w:tcPr>
            <w:tcW w:type="dxa" w:w="3360"/>
          </w:tcPr>
          <w:p>
            <w:r>
              <w:rPr>
                <w:rFonts w:ascii="Times New Roman" w:hAnsi="Times New Roman"/>
                <w:sz w:val="18"/>
              </w:rPr>
              <w:t>Testing</w:t>
            </w:r>
          </w:p>
        </w:tc>
        <w:tc>
          <w:tcPr>
            <w:tcW w:type="dxa" w:w="3360"/>
          </w:tcPr>
          <w:p>
            <w:r>
              <w:rPr>
                <w:rFonts w:ascii="Times New Roman" w:hAnsi="Times New Roman"/>
                <w:sz w:val="18"/>
              </w:rPr>
              <w:t>Pytest and API/client testing tools</w:t>
            </w:r>
          </w:p>
        </w:tc>
        <w:tc>
          <w:tcPr>
            <w:tcW w:type="dxa" w:w="3360"/>
          </w:tcPr>
          <w:p>
            <w:r>
              <w:rPr>
                <w:rFonts w:ascii="Times New Roman" w:hAnsi="Times New Roman"/>
                <w:sz w:val="18"/>
              </w:rPr>
              <w:t>Unit and integration testing.</w:t>
            </w:r>
          </w:p>
        </w:tc>
      </w:tr>
      <w:tr>
        <w:tc>
          <w:tcPr>
            <w:tcW w:type="dxa" w:w="3360"/>
          </w:tcPr>
          <w:p>
            <w:r>
              <w:rPr>
                <w:rFonts w:ascii="Times New Roman" w:hAnsi="Times New Roman"/>
                <w:sz w:val="18"/>
              </w:rPr>
              <w:t>CI/CD</w:t>
            </w:r>
          </w:p>
        </w:tc>
        <w:tc>
          <w:tcPr>
            <w:tcW w:type="dxa" w:w="3360"/>
          </w:tcPr>
          <w:p>
            <w:r>
              <w:rPr>
                <w:rFonts w:ascii="Times New Roman" w:hAnsi="Times New Roman"/>
                <w:sz w:val="18"/>
              </w:rPr>
              <w:t>Jenkins</w:t>
            </w:r>
          </w:p>
        </w:tc>
        <w:tc>
          <w:tcPr>
            <w:tcW w:type="dxa" w:w="3360"/>
          </w:tcPr>
          <w:p>
            <w:r>
              <w:rPr>
                <w:rFonts w:ascii="Times New Roman" w:hAnsi="Times New Roman"/>
                <w:sz w:val="18"/>
              </w:rPr>
              <w:t>Automated build, test, and deployment pipeline.</w:t>
            </w:r>
          </w:p>
        </w:tc>
      </w:tr>
      <w:tr>
        <w:tc>
          <w:tcPr>
            <w:tcW w:type="dxa" w:w="3360"/>
          </w:tcPr>
          <w:p>
            <w:r>
              <w:rPr>
                <w:rFonts w:ascii="Times New Roman" w:hAnsi="Times New Roman"/>
                <w:sz w:val="18"/>
              </w:rPr>
              <w:t>Containerization</w:t>
            </w:r>
          </w:p>
        </w:tc>
        <w:tc>
          <w:tcPr>
            <w:tcW w:type="dxa" w:w="3360"/>
          </w:tcPr>
          <w:p>
            <w:r>
              <w:rPr>
                <w:rFonts w:ascii="Times New Roman" w:hAnsi="Times New Roman"/>
                <w:sz w:val="18"/>
              </w:rPr>
              <w:t>Docker</w:t>
            </w:r>
          </w:p>
        </w:tc>
        <w:tc>
          <w:tcPr>
            <w:tcW w:type="dxa" w:w="3360"/>
          </w:tcPr>
          <w:p>
            <w:r>
              <w:rPr>
                <w:rFonts w:ascii="Times New Roman" w:hAnsi="Times New Roman"/>
                <w:sz w:val="18"/>
              </w:rPr>
              <w:t>Consistent development and deployment environment.</w:t>
            </w:r>
          </w:p>
        </w:tc>
      </w:tr>
      <w:tr>
        <w:tc>
          <w:tcPr>
            <w:tcW w:type="dxa" w:w="3360"/>
          </w:tcPr>
          <w:p>
            <w:r>
              <w:rPr>
                <w:rFonts w:ascii="Times New Roman" w:hAnsi="Times New Roman"/>
                <w:sz w:val="18"/>
              </w:rPr>
              <w:t>Source Control</w:t>
            </w:r>
          </w:p>
        </w:tc>
        <w:tc>
          <w:tcPr>
            <w:tcW w:type="dxa" w:w="3360"/>
          </w:tcPr>
          <w:p>
            <w:r>
              <w:rPr>
                <w:rFonts w:ascii="Times New Roman" w:hAnsi="Times New Roman"/>
                <w:sz w:val="18"/>
              </w:rPr>
              <w:t>Git + GitHub</w:t>
            </w:r>
          </w:p>
        </w:tc>
        <w:tc>
          <w:tcPr>
            <w:tcW w:type="dxa" w:w="3360"/>
          </w:tcPr>
          <w:p>
            <w:r>
              <w:rPr>
                <w:rFonts w:ascii="Times New Roman" w:hAnsi="Times New Roman"/>
                <w:sz w:val="18"/>
              </w:rPr>
              <w:t>Version control, branches, pull requests, and contribution tracking.</w:t>
            </w:r>
          </w:p>
        </w:tc>
      </w:tr>
      <w:tr>
        <w:tc>
          <w:tcPr>
            <w:tcW w:type="dxa" w:w="3360"/>
          </w:tcPr>
          <w:p>
            <w:r>
              <w:rPr>
                <w:rFonts w:ascii="Times New Roman" w:hAnsi="Times New Roman"/>
                <w:sz w:val="18"/>
              </w:rPr>
              <w:t>Agile Tracking</w:t>
            </w:r>
          </w:p>
        </w:tc>
        <w:tc>
          <w:tcPr>
            <w:tcW w:type="dxa" w:w="3360"/>
          </w:tcPr>
          <w:p>
            <w:r>
              <w:rPr>
                <w:rFonts w:ascii="Times New Roman" w:hAnsi="Times New Roman"/>
                <w:sz w:val="18"/>
              </w:rPr>
              <w:t>GitHub Issues/Projects</w:t>
            </w:r>
          </w:p>
        </w:tc>
        <w:tc>
          <w:tcPr>
            <w:tcW w:type="dxa" w:w="3360"/>
          </w:tcPr>
          <w:p>
            <w:r>
              <w:rPr>
                <w:rFonts w:ascii="Times New Roman" w:hAnsi="Times New Roman"/>
                <w:sz w:val="18"/>
              </w:rPr>
              <w:t>Backlog, user stories, tasks, and sprint tracking.</w:t>
            </w:r>
          </w:p>
        </w:tc>
      </w:tr>
      <w:tr>
        <w:tc>
          <w:tcPr>
            <w:tcW w:type="dxa" w:w="3360"/>
          </w:tcPr>
          <w:p>
            <w:r>
              <w:rPr>
                <w:rFonts w:ascii="Times New Roman" w:hAnsi="Times New Roman"/>
                <w:sz w:val="18"/>
              </w:rPr>
              <w:t>Static Analysis</w:t>
            </w:r>
          </w:p>
        </w:tc>
        <w:tc>
          <w:tcPr>
            <w:tcW w:type="dxa" w:w="3360"/>
          </w:tcPr>
          <w:p>
            <w:r>
              <w:rPr>
                <w:rFonts w:ascii="Times New Roman" w:hAnsi="Times New Roman"/>
                <w:sz w:val="18"/>
              </w:rPr>
              <w:t>SonarQube or equivalent</w:t>
            </w:r>
          </w:p>
        </w:tc>
        <w:tc>
          <w:tcPr>
            <w:tcW w:type="dxa" w:w="3360"/>
          </w:tcPr>
          <w:p>
            <w:r>
              <w:rPr>
                <w:rFonts w:ascii="Times New Roman" w:hAnsi="Times New Roman"/>
                <w:sz w:val="18"/>
              </w:rPr>
              <w:t>Code-quality and static-analysis checks.</w:t>
            </w:r>
          </w:p>
        </w:tc>
      </w:tr>
    </w:tbl>
    <w:p>
      <w:pPr>
        <w:pStyle w:val="Heading1"/>
      </w:pPr>
      <w:r>
        <w:t>10. Modularity and Team Ownership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b/>
                <w:sz w:val="19"/>
              </w:rPr>
              <w:t>Team Member</w:t>
            </w:r>
          </w:p>
        </w:tc>
        <w:tc>
          <w:tcPr>
            <w:tcW w:type="dxa" w:w="3360"/>
          </w:tcPr>
          <w:p>
            <w:r>
              <w:rPr>
                <w:rFonts w:ascii="Times New Roman" w:hAnsi="Times New Roman"/>
                <w:b/>
                <w:sz w:val="19"/>
              </w:rPr>
              <w:t>Primary Architectural Component</w:t>
            </w:r>
          </w:p>
        </w:tc>
        <w:tc>
          <w:tcPr>
            <w:tcW w:type="dxa" w:w="3360"/>
          </w:tcPr>
          <w:p>
            <w:r>
              <w:rPr>
                <w:rFonts w:ascii="Times New Roman" w:hAnsi="Times New Roman"/>
                <w:b/>
                <w:sz w:val="19"/>
              </w:rPr>
              <w:t>Ownership Boundary</w:t>
            </w:r>
          </w:p>
        </w:tc>
      </w:tr>
      <w:tr>
        <w:tc>
          <w:tcPr>
            <w:tcW w:type="dxa" w:w="3360"/>
          </w:tcPr>
          <w:p>
            <w:r>
              <w:rPr>
                <w:rFonts w:ascii="Times New Roman" w:hAnsi="Times New Roman"/>
                <w:sz w:val="18"/>
              </w:rPr>
              <w:t>Purum Gurudev</w:t>
            </w:r>
          </w:p>
        </w:tc>
        <w:tc>
          <w:tcPr>
            <w:tcW w:type="dxa" w:w="3360"/>
          </w:tcPr>
          <w:p>
            <w:r>
              <w:rPr>
                <w:rFonts w:ascii="Times New Roman" w:hAnsi="Times New Roman"/>
                <w:sz w:val="18"/>
              </w:rPr>
              <w:t>Authentication Service</w:t>
            </w:r>
          </w:p>
        </w:tc>
        <w:tc>
          <w:tcPr>
            <w:tcW w:type="dxa" w:w="3360"/>
          </w:tcPr>
          <w:p>
            <w:r>
              <w:rPr>
                <w:rFonts w:ascii="Times New Roman" w:hAnsi="Times New Roman"/>
                <w:sz w:val="18"/>
              </w:rPr>
              <w:t>Authentication, authorization, account-related API and tests.</w:t>
            </w:r>
          </w:p>
        </w:tc>
      </w:tr>
      <w:tr>
        <w:tc>
          <w:tcPr>
            <w:tcW w:type="dxa" w:w="3360"/>
          </w:tcPr>
          <w:p>
            <w:r>
              <w:rPr>
                <w:rFonts w:ascii="Times New Roman" w:hAnsi="Times New Roman"/>
                <w:sz w:val="18"/>
              </w:rPr>
              <w:t>Prashyanth V</w:t>
            </w:r>
          </w:p>
        </w:tc>
        <w:tc>
          <w:tcPr>
            <w:tcW w:type="dxa" w:w="3360"/>
          </w:tcPr>
          <w:p>
            <w:r>
              <w:rPr>
                <w:rFonts w:ascii="Times New Roman" w:hAnsi="Times New Roman"/>
                <w:sz w:val="18"/>
              </w:rPr>
              <w:t>Complaint Service</w:t>
            </w:r>
          </w:p>
        </w:tc>
        <w:tc>
          <w:tcPr>
            <w:tcW w:type="dxa" w:w="3360"/>
          </w:tcPr>
          <w:p>
            <w:r>
              <w:rPr>
                <w:rFonts w:ascii="Times New Roman" w:hAnsi="Times New Roman"/>
                <w:sz w:val="18"/>
              </w:rPr>
              <w:t>Complaint creation, category/priority, tracking, and history.</w:t>
            </w:r>
          </w:p>
        </w:tc>
      </w:tr>
      <w:tr>
        <w:tc>
          <w:tcPr>
            <w:tcW w:type="dxa" w:w="3360"/>
          </w:tcPr>
          <w:p>
            <w:r>
              <w:rPr>
                <w:rFonts w:ascii="Times New Roman" w:hAnsi="Times New Roman"/>
                <w:sz w:val="18"/>
              </w:rPr>
              <w:t>Aditya Pradeep</w:t>
            </w:r>
          </w:p>
        </w:tc>
        <w:tc>
          <w:tcPr>
            <w:tcW w:type="dxa" w:w="3360"/>
          </w:tcPr>
          <w:p>
            <w:r>
              <w:rPr>
                <w:rFonts w:ascii="Times New Roman" w:hAnsi="Times New Roman"/>
                <w:sz w:val="18"/>
              </w:rPr>
              <w:t>Assignment / SLA / Escalation Service</w:t>
            </w:r>
          </w:p>
        </w:tc>
        <w:tc>
          <w:tcPr>
            <w:tcW w:type="dxa" w:w="3360"/>
          </w:tcPr>
          <w:p>
            <w:r>
              <w:rPr>
                <w:rFonts w:ascii="Times New Roman" w:hAnsi="Times New Roman"/>
                <w:sz w:val="18"/>
              </w:rPr>
              <w:t>Assignment, SLA rules, background monitoring, and escalation.</w:t>
            </w:r>
          </w:p>
        </w:tc>
      </w:tr>
      <w:tr>
        <w:tc>
          <w:tcPr>
            <w:tcW w:type="dxa" w:w="3360"/>
          </w:tcPr>
          <w:p>
            <w:r>
              <w:rPr>
                <w:rFonts w:ascii="Times New Roman" w:hAnsi="Times New Roman"/>
                <w:sz w:val="18"/>
              </w:rPr>
              <w:t>Nihar S Jain</w:t>
            </w:r>
          </w:p>
        </w:tc>
        <w:tc>
          <w:tcPr>
            <w:tcW w:type="dxa" w:w="3360"/>
          </w:tcPr>
          <w:p>
            <w:r>
              <w:rPr>
                <w:rFonts w:ascii="Times New Roman" w:hAnsi="Times New Roman"/>
                <w:sz w:val="18"/>
              </w:rPr>
              <w:t>Notification + Dashboard/Reporting</w:t>
            </w:r>
          </w:p>
        </w:tc>
        <w:tc>
          <w:tcPr>
            <w:tcW w:type="dxa" w:w="3360"/>
          </w:tcPr>
          <w:p>
            <w:r>
              <w:rPr>
                <w:rFonts w:ascii="Times New Roman" w:hAnsi="Times New Roman"/>
                <w:sz w:val="18"/>
              </w:rPr>
              <w:t>Notifications, external notification adapters, dashboard and reporting.</w:t>
            </w:r>
          </w:p>
        </w:tc>
      </w:tr>
    </w:tbl>
    <w:p>
      <w:pPr>
        <w:jc w:val="left"/>
      </w:pPr>
      <w:r>
        <w:rPr>
          <w:b w:val="0"/>
          <w:i w:val="0"/>
        </w:rPr>
        <w:t>All members continue to contribute to integration, design reviews, testing, CI/CD, documentation, and code review. The ownership boundaries prevent module overlap while keeping the overall architecture collaborative.</w:t>
      </w:r>
    </w:p>
    <w:p>
      <w:pPr>
        <w:pStyle w:val="Heading1"/>
      </w:pPr>
      <w:r>
        <w:t>11. Architectural Constraints and Decisions</w:t>
      </w:r>
    </w:p>
    <w:p>
      <w:pPr>
        <w:pStyle w:val="ListBullet"/>
      </w:pPr>
      <w:r>
        <w:t>The system remains a web-based application as established in the SRS.</w:t>
      </w:r>
    </w:p>
    <w:p>
      <w:pPr>
        <w:pStyle w:val="ListBullet"/>
      </w:pPr>
      <w:r>
        <w:t>The project uses a relational database and modular backend services.</w:t>
      </w:r>
    </w:p>
    <w:p>
      <w:pPr>
        <w:pStyle w:val="ListBullet"/>
      </w:pPr>
      <w:r>
        <w:t>External notification channels are integrations and remain configurable; in-app notifications are part of the baseline system.</w:t>
      </w:r>
    </w:p>
    <w:p>
      <w:pPr>
        <w:pStyle w:val="ListBullet"/>
      </w:pPr>
      <w:r>
        <w:t>Detailed API endpoints, request/response schemas, class structures, database tables, and indexes are deferred to the Software Design Document.</w:t>
      </w:r>
    </w:p>
    <w:p>
      <w:pPr>
        <w:pStyle w:val="ListBullet"/>
      </w:pPr>
      <w:r>
        <w:t>Architecture decisions must remain traceable to the SRS requirements and be updated through controlled GitHub changes and pull requests.</w:t>
      </w:r>
    </w:p>
    <w:p>
      <w:pPr>
        <w:pStyle w:val="Heading1"/>
      </w:pPr>
      <w:r>
        <w:t>12. Requirement-to-Component Mapping</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Times New Roman" w:hAnsi="Times New Roman"/>
                <w:b/>
                <w:sz w:val="19"/>
              </w:rPr>
              <w:t>Requirement Group</w:t>
            </w:r>
          </w:p>
        </w:tc>
        <w:tc>
          <w:tcPr>
            <w:tcW w:type="dxa" w:w="5040"/>
          </w:tcPr>
          <w:p>
            <w:r>
              <w:rPr>
                <w:rFonts w:ascii="Times New Roman" w:hAnsi="Times New Roman"/>
                <w:b/>
                <w:sz w:val="19"/>
              </w:rPr>
              <w:t>Primary Component(s)</w:t>
            </w:r>
          </w:p>
        </w:tc>
      </w:tr>
      <w:tr>
        <w:tc>
          <w:tcPr>
            <w:tcW w:type="dxa" w:w="5040"/>
          </w:tcPr>
          <w:p>
            <w:r>
              <w:rPr>
                <w:rFonts w:ascii="Times New Roman" w:hAnsi="Times New Roman"/>
                <w:sz w:val="18"/>
              </w:rPr>
              <w:t>FR-01–FR-04</w:t>
            </w:r>
          </w:p>
        </w:tc>
        <w:tc>
          <w:tcPr>
            <w:tcW w:type="dxa" w:w="5040"/>
          </w:tcPr>
          <w:p>
            <w:r>
              <w:rPr>
                <w:rFonts w:ascii="Times New Roman" w:hAnsi="Times New Roman"/>
                <w:sz w:val="18"/>
              </w:rPr>
              <w:t>Authentication Service + Backend API + Frontend</w:t>
            </w:r>
          </w:p>
        </w:tc>
      </w:tr>
      <w:tr>
        <w:tc>
          <w:tcPr>
            <w:tcW w:type="dxa" w:w="5040"/>
          </w:tcPr>
          <w:p>
            <w:r>
              <w:rPr>
                <w:rFonts w:ascii="Times New Roman" w:hAnsi="Times New Roman"/>
                <w:sz w:val="18"/>
              </w:rPr>
              <w:t>FR-05–FR-11</w:t>
            </w:r>
          </w:p>
        </w:tc>
        <w:tc>
          <w:tcPr>
            <w:tcW w:type="dxa" w:w="5040"/>
          </w:tcPr>
          <w:p>
            <w:r>
              <w:rPr>
                <w:rFonts w:ascii="Times New Roman" w:hAnsi="Times New Roman"/>
                <w:sz w:val="18"/>
              </w:rPr>
              <w:t>Complaint Service + Frontend + Database</w:t>
            </w:r>
          </w:p>
        </w:tc>
      </w:tr>
      <w:tr>
        <w:tc>
          <w:tcPr>
            <w:tcW w:type="dxa" w:w="5040"/>
          </w:tcPr>
          <w:p>
            <w:r>
              <w:rPr>
                <w:rFonts w:ascii="Times New Roman" w:hAnsi="Times New Roman"/>
                <w:sz w:val="18"/>
              </w:rPr>
              <w:t>FR-12–FR-15</w:t>
            </w:r>
          </w:p>
        </w:tc>
        <w:tc>
          <w:tcPr>
            <w:tcW w:type="dxa" w:w="5040"/>
          </w:tcPr>
          <w:p>
            <w:r>
              <w:rPr>
                <w:rFonts w:ascii="Times New Roman" w:hAnsi="Times New Roman"/>
                <w:sz w:val="18"/>
              </w:rPr>
              <w:t>Assignment/Complaint Services + Database</w:t>
            </w:r>
          </w:p>
        </w:tc>
      </w:tr>
      <w:tr>
        <w:tc>
          <w:tcPr>
            <w:tcW w:type="dxa" w:w="5040"/>
          </w:tcPr>
          <w:p>
            <w:r>
              <w:rPr>
                <w:rFonts w:ascii="Times New Roman" w:hAnsi="Times New Roman"/>
                <w:sz w:val="18"/>
              </w:rPr>
              <w:t>FR-16–FR-19</w:t>
            </w:r>
          </w:p>
        </w:tc>
        <w:tc>
          <w:tcPr>
            <w:tcW w:type="dxa" w:w="5040"/>
          </w:tcPr>
          <w:p>
            <w:r>
              <w:rPr>
                <w:rFonts w:ascii="Times New Roman" w:hAnsi="Times New Roman"/>
                <w:sz w:val="18"/>
              </w:rPr>
              <w:t>SLA/Escalation Service + Scheduler + Database</w:t>
            </w:r>
          </w:p>
        </w:tc>
      </w:tr>
      <w:tr>
        <w:tc>
          <w:tcPr>
            <w:tcW w:type="dxa" w:w="5040"/>
          </w:tcPr>
          <w:p>
            <w:r>
              <w:rPr>
                <w:rFonts w:ascii="Times New Roman" w:hAnsi="Times New Roman"/>
                <w:sz w:val="18"/>
              </w:rPr>
              <w:t>FR-20–FR-21</w:t>
            </w:r>
          </w:p>
        </w:tc>
        <w:tc>
          <w:tcPr>
            <w:tcW w:type="dxa" w:w="5040"/>
          </w:tcPr>
          <w:p>
            <w:r>
              <w:rPr>
                <w:rFonts w:ascii="Times New Roman" w:hAnsi="Times New Roman"/>
                <w:sz w:val="18"/>
              </w:rPr>
              <w:t>Notification Service + Notification Store + External Providers</w:t>
            </w:r>
          </w:p>
        </w:tc>
      </w:tr>
      <w:tr>
        <w:tc>
          <w:tcPr>
            <w:tcW w:type="dxa" w:w="5040"/>
          </w:tcPr>
          <w:p>
            <w:r>
              <w:rPr>
                <w:rFonts w:ascii="Times New Roman" w:hAnsi="Times New Roman"/>
                <w:sz w:val="18"/>
              </w:rPr>
              <w:t>FR-22–FR-24</w:t>
            </w:r>
          </w:p>
        </w:tc>
        <w:tc>
          <w:tcPr>
            <w:tcW w:type="dxa" w:w="5040"/>
          </w:tcPr>
          <w:p>
            <w:r>
              <w:rPr>
                <w:rFonts w:ascii="Times New Roman" w:hAnsi="Times New Roman"/>
                <w:sz w:val="18"/>
              </w:rPr>
              <w:t>Dashboard/Reporting + Complaint/Data Access</w:t>
            </w:r>
          </w:p>
        </w:tc>
      </w:tr>
      <w:tr>
        <w:tc>
          <w:tcPr>
            <w:tcW w:type="dxa" w:w="5040"/>
          </w:tcPr>
          <w:p>
            <w:r>
              <w:rPr>
                <w:rFonts w:ascii="Times New Roman" w:hAnsi="Times New Roman"/>
                <w:sz w:val="18"/>
              </w:rPr>
              <w:t>NFR Security</w:t>
            </w:r>
          </w:p>
        </w:tc>
        <w:tc>
          <w:tcPr>
            <w:tcW w:type="dxa" w:w="5040"/>
          </w:tcPr>
          <w:p>
            <w:r>
              <w:rPr>
                <w:rFonts w:ascii="Times New Roman" w:hAnsi="Times New Roman"/>
                <w:sz w:val="18"/>
              </w:rPr>
              <w:t>Authentication + API authorization + secure configuration</w:t>
            </w:r>
          </w:p>
        </w:tc>
      </w:tr>
      <w:tr>
        <w:tc>
          <w:tcPr>
            <w:tcW w:type="dxa" w:w="5040"/>
          </w:tcPr>
          <w:p>
            <w:r>
              <w:rPr>
                <w:rFonts w:ascii="Times New Roman" w:hAnsi="Times New Roman"/>
                <w:sz w:val="18"/>
              </w:rPr>
              <w:t>NFR Performance/Reliability</w:t>
            </w:r>
          </w:p>
        </w:tc>
        <w:tc>
          <w:tcPr>
            <w:tcW w:type="dxa" w:w="5040"/>
          </w:tcPr>
          <w:p>
            <w:r>
              <w:rPr>
                <w:rFonts w:ascii="Times New Roman" w:hAnsi="Times New Roman"/>
                <w:sz w:val="18"/>
              </w:rPr>
              <w:t>API + Data Access + Database + Scheduler</w:t>
            </w:r>
          </w:p>
        </w:tc>
      </w:tr>
    </w:tbl>
    <w:p>
      <w:pPr>
        <w:pStyle w:val="Heading1"/>
      </w:pPr>
      <w:r>
        <w:t>13. Next Phase: Software Design</w:t>
      </w:r>
    </w:p>
    <w:p>
      <w:pPr>
        <w:jc w:val="left"/>
      </w:pPr>
      <w:r>
        <w:rPr>
          <w:b w:val="0"/>
          <w:i w:val="0"/>
        </w:rPr>
        <w:t>The next deliverable will translate this high-level architecture into implementable design specifications. It will define detailed UML diagrams, database ER design, API endpoints and schemas, component interfaces, sequence flows, and module-level design. The implementation will begin only after the design baseline is established.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