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7211A">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Cox Proportional Hazards Regression in IBM SPSS Statistics.</w:t>
      </w:r>
    </w:p>
    <w:p w14:paraId="425F600D">
      <w:pPr>
        <w:jc w:val="center"/>
        <w:rPr>
          <w:rFonts w:hint="default" w:ascii="Times New Roman" w:hAnsi="Times New Roman" w:cs="Times New Roman"/>
          <w:b w:val="0"/>
          <w:bCs w:val="0"/>
          <w:sz w:val="24"/>
          <w:szCs w:val="24"/>
        </w:rPr>
      </w:pPr>
    </w:p>
    <w:p w14:paraId="67BA6D2E">
      <w:pPr>
        <w:jc w:val="both"/>
        <w:rPr>
          <w:rFonts w:hint="default" w:ascii="Times New Roman" w:hAnsi="Times New Roman"/>
          <w:b w:val="0"/>
          <w:bCs w:val="0"/>
          <w:sz w:val="24"/>
          <w:szCs w:val="24"/>
        </w:rPr>
      </w:pPr>
      <w:r>
        <w:rPr>
          <w:rFonts w:hint="default" w:ascii="Times New Roman" w:hAnsi="Times New Roman"/>
          <w:b w:val="0"/>
          <w:bCs w:val="0"/>
          <w:sz w:val="24"/>
          <w:szCs w:val="24"/>
        </w:rPr>
        <w:t xml:space="preserve"> </w:t>
      </w:r>
    </w:p>
    <w:p w14:paraId="5BF1A6ED">
      <w:pPr>
        <w:jc w:val="both"/>
        <w:rPr>
          <w:rFonts w:hint="default" w:ascii="Times New Roman" w:hAnsi="Times New Roman"/>
          <w:b w:val="0"/>
          <w:bCs w:val="0"/>
          <w:sz w:val="24"/>
          <w:szCs w:val="24"/>
        </w:rPr>
      </w:pPr>
    </w:p>
    <w:p w14:paraId="703B6017">
      <w:pPr>
        <w:jc w:val="both"/>
        <w:rPr>
          <w:rFonts w:hint="default" w:ascii="Times New Roman" w:hAnsi="Times New Roman"/>
          <w:b w:val="0"/>
          <w:bCs w:val="0"/>
          <w:sz w:val="24"/>
          <w:szCs w:val="24"/>
        </w:rPr>
      </w:pPr>
      <w:r>
        <w:rPr>
          <w:rFonts w:hint="default" w:ascii="Times New Roman" w:hAnsi="Times New Roman"/>
          <w:b w:val="0"/>
          <w:bCs w:val="0"/>
          <w:sz w:val="24"/>
          <w:szCs w:val="24"/>
        </w:rPr>
        <w:t>The Hazard Ratio is the most important value.</w:t>
      </w:r>
    </w:p>
    <w:p w14:paraId="21587B14">
      <w:pPr>
        <w:jc w:val="both"/>
        <w:rPr>
          <w:rFonts w:hint="default" w:ascii="Times New Roman" w:hAnsi="Times New Roman"/>
          <w:b w:val="0"/>
          <w:bCs w:val="0"/>
          <w:sz w:val="24"/>
          <w:szCs w:val="24"/>
        </w:rPr>
      </w:pPr>
    </w:p>
    <w:p w14:paraId="7D40543E">
      <w:pPr>
        <w:jc w:val="both"/>
        <w:rPr>
          <w:rFonts w:hint="default" w:ascii="Times New Roman" w:hAnsi="Times New Roman"/>
          <w:b w:val="0"/>
          <w:bCs w:val="0"/>
          <w:sz w:val="24"/>
          <w:szCs w:val="24"/>
        </w:rPr>
      </w:pPr>
      <w:r>
        <w:rPr>
          <w:rFonts w:hint="default" w:ascii="Times New Roman" w:hAnsi="Times New Roman"/>
          <w:b w:val="0"/>
          <w:bCs w:val="0"/>
          <w:sz w:val="24"/>
          <w:szCs w:val="24"/>
        </w:rPr>
        <w:t>HR &gt; 1 → higher risk of death</w:t>
      </w:r>
    </w:p>
    <w:p w14:paraId="39F4D3CD">
      <w:pPr>
        <w:jc w:val="both"/>
        <w:rPr>
          <w:rFonts w:hint="default" w:ascii="Times New Roman" w:hAnsi="Times New Roman"/>
          <w:b w:val="0"/>
          <w:bCs w:val="0"/>
          <w:sz w:val="24"/>
          <w:szCs w:val="24"/>
        </w:rPr>
      </w:pPr>
    </w:p>
    <w:p w14:paraId="3ADBF6D7">
      <w:pPr>
        <w:jc w:val="both"/>
        <w:rPr>
          <w:rFonts w:hint="default" w:ascii="Times New Roman" w:hAnsi="Times New Roman"/>
          <w:b w:val="0"/>
          <w:bCs w:val="0"/>
          <w:sz w:val="24"/>
          <w:szCs w:val="24"/>
        </w:rPr>
      </w:pPr>
      <w:r>
        <w:rPr>
          <w:rFonts w:hint="default" w:ascii="Times New Roman" w:hAnsi="Times New Roman"/>
          <w:b w:val="0"/>
          <w:bCs w:val="0"/>
          <w:sz w:val="24"/>
          <w:szCs w:val="24"/>
        </w:rPr>
        <w:t>HR &lt; 1 → lower risk (protective effect)</w:t>
      </w:r>
    </w:p>
    <w:p w14:paraId="71BC00CB">
      <w:pPr>
        <w:jc w:val="both"/>
        <w:rPr>
          <w:rFonts w:hint="default" w:ascii="Times New Roman" w:hAnsi="Times New Roman"/>
          <w:b w:val="0"/>
          <w:bCs w:val="0"/>
          <w:sz w:val="24"/>
          <w:szCs w:val="24"/>
        </w:rPr>
      </w:pPr>
    </w:p>
    <w:p w14:paraId="333A6AB9">
      <w:pPr>
        <w:jc w:val="both"/>
        <w:rPr>
          <w:rFonts w:hint="default" w:ascii="Times New Roman" w:hAnsi="Times New Roman"/>
          <w:b w:val="0"/>
          <w:bCs w:val="0"/>
          <w:sz w:val="24"/>
          <w:szCs w:val="24"/>
        </w:rPr>
      </w:pPr>
      <w:r>
        <w:rPr>
          <w:rFonts w:hint="default" w:ascii="Times New Roman" w:hAnsi="Times New Roman"/>
          <w:b w:val="0"/>
          <w:bCs w:val="0"/>
          <w:sz w:val="24"/>
          <w:szCs w:val="24"/>
        </w:rPr>
        <w:t xml:space="preserve"> Variable-by-variable interpretation</w:t>
      </w:r>
    </w:p>
    <w:p w14:paraId="20ABD9D6">
      <w:pPr>
        <w:jc w:val="both"/>
        <w:rPr>
          <w:rFonts w:hint="default" w:ascii="Times New Roman" w:hAnsi="Times New Roman"/>
          <w:b w:val="0"/>
          <w:bCs w:val="0"/>
          <w:sz w:val="24"/>
          <w:szCs w:val="24"/>
        </w:rPr>
      </w:pPr>
      <w:r>
        <w:rPr>
          <w:rFonts w:hint="default" w:ascii="Times New Roman" w:hAnsi="Times New Roman"/>
          <w:b w:val="0"/>
          <w:bCs w:val="0"/>
          <w:sz w:val="24"/>
          <w:szCs w:val="24"/>
        </w:rPr>
        <w:t>Sex</w:t>
      </w:r>
    </w:p>
    <w:p w14:paraId="4EF73FD6">
      <w:pPr>
        <w:jc w:val="both"/>
        <w:rPr>
          <w:rFonts w:hint="default" w:ascii="Times New Roman" w:hAnsi="Times New Roman"/>
          <w:b w:val="0"/>
          <w:bCs w:val="0"/>
          <w:sz w:val="24"/>
          <w:szCs w:val="24"/>
        </w:rPr>
      </w:pPr>
    </w:p>
    <w:p w14:paraId="1784E341">
      <w:pPr>
        <w:jc w:val="both"/>
        <w:rPr>
          <w:rFonts w:hint="default" w:ascii="Times New Roman" w:hAnsi="Times New Roman"/>
          <w:b w:val="0"/>
          <w:bCs w:val="0"/>
          <w:sz w:val="24"/>
          <w:szCs w:val="24"/>
        </w:rPr>
      </w:pPr>
      <w:r>
        <w:rPr>
          <w:rFonts w:hint="default" w:ascii="Times New Roman" w:hAnsi="Times New Roman"/>
          <w:b w:val="0"/>
          <w:bCs w:val="0"/>
          <w:sz w:val="24"/>
          <w:szCs w:val="24"/>
        </w:rPr>
        <w:t>p = .655</w:t>
      </w:r>
    </w:p>
    <w:p w14:paraId="57EDAEEB">
      <w:pPr>
        <w:jc w:val="both"/>
        <w:rPr>
          <w:rFonts w:hint="default" w:ascii="Times New Roman" w:hAnsi="Times New Roman"/>
          <w:b w:val="0"/>
          <w:bCs w:val="0"/>
          <w:sz w:val="24"/>
          <w:szCs w:val="24"/>
        </w:rPr>
      </w:pPr>
    </w:p>
    <w:p w14:paraId="5B80F035">
      <w:pPr>
        <w:jc w:val="both"/>
        <w:rPr>
          <w:rFonts w:hint="default" w:ascii="Times New Roman" w:hAnsi="Times New Roman"/>
          <w:b w:val="0"/>
          <w:bCs w:val="0"/>
          <w:sz w:val="24"/>
          <w:szCs w:val="24"/>
        </w:rPr>
      </w:pPr>
      <w:r>
        <w:rPr>
          <w:rFonts w:hint="default" w:ascii="Times New Roman" w:hAnsi="Times New Roman"/>
          <w:b w:val="0"/>
          <w:bCs w:val="0"/>
          <w:sz w:val="24"/>
          <w:szCs w:val="24"/>
        </w:rPr>
        <w:t>Not significant.</w:t>
      </w:r>
    </w:p>
    <w:p w14:paraId="3C96C719">
      <w:pPr>
        <w:jc w:val="both"/>
        <w:rPr>
          <w:rFonts w:hint="default" w:ascii="Times New Roman" w:hAnsi="Times New Roman"/>
          <w:b w:val="0"/>
          <w:bCs w:val="0"/>
          <w:sz w:val="24"/>
          <w:szCs w:val="24"/>
        </w:rPr>
      </w:pPr>
    </w:p>
    <w:p w14:paraId="3E1DCAE3">
      <w:pPr>
        <w:jc w:val="both"/>
        <w:rPr>
          <w:rFonts w:hint="default" w:ascii="Times New Roman" w:hAnsi="Times New Roman"/>
          <w:b w:val="0"/>
          <w:bCs w:val="0"/>
          <w:sz w:val="24"/>
          <w:szCs w:val="24"/>
        </w:rPr>
      </w:pPr>
      <w:r>
        <w:rPr>
          <w:rFonts w:hint="default" w:ascii="Times New Roman" w:hAnsi="Times New Roman"/>
          <w:b w:val="0"/>
          <w:bCs w:val="0"/>
          <w:sz w:val="24"/>
          <w:szCs w:val="24"/>
        </w:rPr>
        <w:t>HR = 0.852</w:t>
      </w:r>
    </w:p>
    <w:p w14:paraId="60C722C5">
      <w:pPr>
        <w:jc w:val="both"/>
        <w:rPr>
          <w:rFonts w:hint="default" w:ascii="Times New Roman" w:hAnsi="Times New Roman"/>
          <w:b w:val="0"/>
          <w:bCs w:val="0"/>
          <w:sz w:val="24"/>
          <w:szCs w:val="24"/>
        </w:rPr>
      </w:pPr>
    </w:p>
    <w:p w14:paraId="435129BD">
      <w:pPr>
        <w:jc w:val="both"/>
        <w:rPr>
          <w:rFonts w:hint="default" w:ascii="Times New Roman" w:hAnsi="Times New Roman"/>
          <w:b w:val="0"/>
          <w:bCs w:val="0"/>
          <w:sz w:val="24"/>
          <w:szCs w:val="24"/>
        </w:rPr>
      </w:pPr>
      <w:r>
        <w:rPr>
          <w:rFonts w:hint="default" w:ascii="Times New Roman" w:hAnsi="Times New Roman"/>
          <w:b w:val="0"/>
          <w:bCs w:val="0"/>
          <w:sz w:val="24"/>
          <w:szCs w:val="24"/>
        </w:rPr>
        <w:t>Interpretation:</w:t>
      </w:r>
    </w:p>
    <w:p w14:paraId="2619D2E3">
      <w:pPr>
        <w:jc w:val="both"/>
        <w:rPr>
          <w:rFonts w:hint="default" w:ascii="Times New Roman" w:hAnsi="Times New Roman"/>
          <w:b w:val="0"/>
          <w:bCs w:val="0"/>
          <w:sz w:val="24"/>
          <w:szCs w:val="24"/>
        </w:rPr>
      </w:pPr>
    </w:p>
    <w:p w14:paraId="4996E944">
      <w:pPr>
        <w:jc w:val="both"/>
        <w:rPr>
          <w:rFonts w:hint="default" w:ascii="Times New Roman" w:hAnsi="Times New Roman"/>
          <w:b w:val="0"/>
          <w:bCs w:val="0"/>
          <w:sz w:val="24"/>
          <w:szCs w:val="24"/>
        </w:rPr>
      </w:pPr>
      <w:r>
        <w:rPr>
          <w:rFonts w:hint="default" w:ascii="Times New Roman" w:hAnsi="Times New Roman"/>
          <w:b w:val="0"/>
          <w:bCs w:val="0"/>
          <w:sz w:val="24"/>
          <w:szCs w:val="24"/>
        </w:rPr>
        <w:t>Females had 14.8% lower hazard, but the difference was not statistically significant.</w:t>
      </w:r>
    </w:p>
    <w:p w14:paraId="5827B7D0">
      <w:pPr>
        <w:jc w:val="both"/>
        <w:rPr>
          <w:rFonts w:hint="default" w:ascii="Times New Roman" w:hAnsi="Times New Roman"/>
          <w:b w:val="0"/>
          <w:bCs w:val="0"/>
          <w:sz w:val="24"/>
          <w:szCs w:val="24"/>
        </w:rPr>
      </w:pPr>
    </w:p>
    <w:p w14:paraId="6F536ED0">
      <w:pPr>
        <w:jc w:val="both"/>
        <w:rPr>
          <w:rFonts w:hint="default" w:ascii="Times New Roman" w:hAnsi="Times New Roman"/>
          <w:b w:val="0"/>
          <w:bCs w:val="0"/>
          <w:sz w:val="24"/>
          <w:szCs w:val="24"/>
        </w:rPr>
      </w:pPr>
      <w:r>
        <w:rPr>
          <w:rFonts w:hint="default" w:ascii="Times New Roman" w:hAnsi="Times New Roman"/>
          <w:b w:val="0"/>
          <w:bCs w:val="0"/>
          <w:sz w:val="24"/>
          <w:szCs w:val="24"/>
        </w:rPr>
        <w:t>Diagnosis (overall test)</w:t>
      </w:r>
    </w:p>
    <w:p w14:paraId="19F6B817">
      <w:pPr>
        <w:jc w:val="both"/>
        <w:rPr>
          <w:rFonts w:hint="default" w:ascii="Times New Roman" w:hAnsi="Times New Roman"/>
          <w:b w:val="0"/>
          <w:bCs w:val="0"/>
          <w:sz w:val="24"/>
          <w:szCs w:val="24"/>
        </w:rPr>
      </w:pPr>
    </w:p>
    <w:p w14:paraId="25FF2D3E">
      <w:pPr>
        <w:jc w:val="both"/>
        <w:rPr>
          <w:rFonts w:hint="default" w:ascii="Times New Roman" w:hAnsi="Times New Roman"/>
          <w:b w:val="0"/>
          <w:bCs w:val="0"/>
          <w:sz w:val="24"/>
          <w:szCs w:val="24"/>
        </w:rPr>
      </w:pPr>
      <w:r>
        <w:rPr>
          <w:rFonts w:hint="default" w:ascii="Times New Roman" w:hAnsi="Times New Roman"/>
          <w:b w:val="0"/>
          <w:bCs w:val="0"/>
          <w:sz w:val="24"/>
          <w:szCs w:val="24"/>
        </w:rPr>
        <w:t>p &lt; .001</w:t>
      </w:r>
    </w:p>
    <w:p w14:paraId="239D22E8">
      <w:pPr>
        <w:jc w:val="both"/>
        <w:rPr>
          <w:rFonts w:hint="default" w:ascii="Times New Roman" w:hAnsi="Times New Roman"/>
          <w:b w:val="0"/>
          <w:bCs w:val="0"/>
          <w:sz w:val="24"/>
          <w:szCs w:val="24"/>
        </w:rPr>
      </w:pPr>
    </w:p>
    <w:p w14:paraId="18D99F65">
      <w:pPr>
        <w:jc w:val="both"/>
        <w:rPr>
          <w:rFonts w:hint="default" w:ascii="Times New Roman" w:hAnsi="Times New Roman"/>
          <w:b w:val="0"/>
          <w:bCs w:val="0"/>
          <w:sz w:val="24"/>
          <w:szCs w:val="24"/>
        </w:rPr>
      </w:pPr>
      <w:r>
        <w:rPr>
          <w:rFonts w:hint="default" w:ascii="Times New Roman" w:hAnsi="Times New Roman"/>
          <w:b w:val="0"/>
          <w:bCs w:val="0"/>
          <w:sz w:val="24"/>
          <w:szCs w:val="24"/>
        </w:rPr>
        <w:t>This means:</w:t>
      </w:r>
    </w:p>
    <w:p w14:paraId="5090FBEB">
      <w:pPr>
        <w:jc w:val="both"/>
        <w:rPr>
          <w:rFonts w:hint="default" w:ascii="Times New Roman" w:hAnsi="Times New Roman"/>
          <w:b w:val="0"/>
          <w:bCs w:val="0"/>
          <w:sz w:val="24"/>
          <w:szCs w:val="24"/>
        </w:rPr>
      </w:pPr>
    </w:p>
    <w:p w14:paraId="68A5ABE8">
      <w:pPr>
        <w:jc w:val="both"/>
        <w:rPr>
          <w:rFonts w:hint="default" w:ascii="Times New Roman" w:hAnsi="Times New Roman"/>
          <w:b w:val="0"/>
          <w:bCs w:val="0"/>
          <w:sz w:val="24"/>
          <w:szCs w:val="24"/>
        </w:rPr>
      </w:pPr>
      <w:r>
        <w:rPr>
          <w:rFonts w:hint="default" w:ascii="Times New Roman" w:hAnsi="Times New Roman"/>
          <w:b w:val="0"/>
          <w:bCs w:val="0"/>
          <w:sz w:val="24"/>
          <w:szCs w:val="24"/>
        </w:rPr>
        <w:t>Tumor diagnosis significantly affects survival.</w:t>
      </w:r>
    </w:p>
    <w:p w14:paraId="6C79D71A">
      <w:pPr>
        <w:jc w:val="both"/>
        <w:rPr>
          <w:rFonts w:hint="default" w:ascii="Times New Roman" w:hAnsi="Times New Roman"/>
          <w:b w:val="0"/>
          <w:bCs w:val="0"/>
          <w:sz w:val="24"/>
          <w:szCs w:val="24"/>
        </w:rPr>
      </w:pPr>
    </w:p>
    <w:p w14:paraId="1078C995">
      <w:pPr>
        <w:jc w:val="both"/>
        <w:rPr>
          <w:rFonts w:hint="default" w:ascii="Times New Roman" w:hAnsi="Times New Roman"/>
          <w:b w:val="0"/>
          <w:bCs w:val="0"/>
          <w:sz w:val="24"/>
          <w:szCs w:val="24"/>
        </w:rPr>
      </w:pPr>
      <w:r>
        <w:rPr>
          <w:rFonts w:hint="default" w:ascii="Times New Roman" w:hAnsi="Times New Roman"/>
          <w:b w:val="0"/>
          <w:bCs w:val="0"/>
          <w:sz w:val="24"/>
          <w:szCs w:val="24"/>
        </w:rPr>
        <w:t>Now look at each category.</w:t>
      </w:r>
    </w:p>
    <w:p w14:paraId="4252CE2A">
      <w:pPr>
        <w:jc w:val="both"/>
        <w:rPr>
          <w:rFonts w:hint="default" w:ascii="Times New Roman" w:hAnsi="Times New Roman"/>
          <w:b w:val="0"/>
          <w:bCs w:val="0"/>
          <w:sz w:val="24"/>
          <w:szCs w:val="24"/>
        </w:rPr>
      </w:pPr>
    </w:p>
    <w:p w14:paraId="69DB258B">
      <w:pPr>
        <w:jc w:val="both"/>
        <w:rPr>
          <w:rFonts w:hint="default" w:ascii="Times New Roman" w:hAnsi="Times New Roman"/>
          <w:b w:val="0"/>
          <w:bCs w:val="0"/>
          <w:sz w:val="24"/>
          <w:szCs w:val="24"/>
        </w:rPr>
      </w:pPr>
      <w:r>
        <w:rPr>
          <w:rFonts w:hint="default" w:ascii="Times New Roman" w:hAnsi="Times New Roman"/>
          <w:b w:val="0"/>
          <w:bCs w:val="0"/>
          <w:sz w:val="24"/>
          <w:szCs w:val="24"/>
        </w:rPr>
        <w:t>Diagnosis (1) – HG glioma</w:t>
      </w:r>
    </w:p>
    <w:p w14:paraId="43940EBF">
      <w:pPr>
        <w:jc w:val="both"/>
        <w:rPr>
          <w:rFonts w:hint="default" w:ascii="Times New Roman" w:hAnsi="Times New Roman"/>
          <w:b w:val="0"/>
          <w:bCs w:val="0"/>
          <w:sz w:val="24"/>
          <w:szCs w:val="24"/>
        </w:rPr>
      </w:pPr>
    </w:p>
    <w:p w14:paraId="2939E99A">
      <w:pPr>
        <w:jc w:val="both"/>
        <w:rPr>
          <w:rFonts w:hint="default" w:ascii="Times New Roman" w:hAnsi="Times New Roman"/>
          <w:b w:val="0"/>
          <w:bCs w:val="0"/>
          <w:sz w:val="24"/>
          <w:szCs w:val="24"/>
        </w:rPr>
      </w:pPr>
      <w:r>
        <w:rPr>
          <w:rFonts w:hint="default" w:ascii="Times New Roman" w:hAnsi="Times New Roman"/>
          <w:b w:val="0"/>
          <w:bCs w:val="0"/>
          <w:sz w:val="24"/>
          <w:szCs w:val="24"/>
        </w:rPr>
        <w:t>p = .009</w:t>
      </w:r>
    </w:p>
    <w:p w14:paraId="43BB0644">
      <w:pPr>
        <w:jc w:val="both"/>
        <w:rPr>
          <w:rFonts w:hint="default" w:ascii="Times New Roman" w:hAnsi="Times New Roman"/>
          <w:b w:val="0"/>
          <w:bCs w:val="0"/>
          <w:sz w:val="24"/>
          <w:szCs w:val="24"/>
        </w:rPr>
      </w:pPr>
    </w:p>
    <w:p w14:paraId="532115EB">
      <w:pPr>
        <w:jc w:val="both"/>
        <w:rPr>
          <w:rFonts w:hint="default" w:ascii="Times New Roman" w:hAnsi="Times New Roman"/>
          <w:b w:val="0"/>
          <w:bCs w:val="0"/>
          <w:sz w:val="24"/>
          <w:szCs w:val="24"/>
        </w:rPr>
      </w:pPr>
      <w:r>
        <w:rPr>
          <w:rFonts w:hint="default" w:ascii="Times New Roman" w:hAnsi="Times New Roman"/>
          <w:b w:val="0"/>
          <w:bCs w:val="0"/>
          <w:sz w:val="24"/>
          <w:szCs w:val="24"/>
        </w:rPr>
        <w:t>HR = 4.25</w:t>
      </w:r>
    </w:p>
    <w:p w14:paraId="10CE3409">
      <w:pPr>
        <w:jc w:val="both"/>
        <w:rPr>
          <w:rFonts w:hint="default" w:ascii="Times New Roman" w:hAnsi="Times New Roman"/>
          <w:b w:val="0"/>
          <w:bCs w:val="0"/>
          <w:sz w:val="24"/>
          <w:szCs w:val="24"/>
        </w:rPr>
      </w:pPr>
    </w:p>
    <w:p w14:paraId="56925651">
      <w:pPr>
        <w:jc w:val="both"/>
        <w:rPr>
          <w:rFonts w:hint="default" w:ascii="Times New Roman" w:hAnsi="Times New Roman"/>
          <w:b w:val="0"/>
          <w:bCs w:val="0"/>
          <w:sz w:val="24"/>
          <w:szCs w:val="24"/>
        </w:rPr>
      </w:pPr>
      <w:r>
        <w:rPr>
          <w:rFonts w:hint="default" w:ascii="Times New Roman" w:hAnsi="Times New Roman"/>
          <w:b w:val="0"/>
          <w:bCs w:val="0"/>
          <w:sz w:val="24"/>
          <w:szCs w:val="24"/>
        </w:rPr>
        <w:t>Interpretation:</w:t>
      </w:r>
    </w:p>
    <w:p w14:paraId="07F31321">
      <w:pPr>
        <w:jc w:val="both"/>
        <w:rPr>
          <w:rFonts w:hint="default" w:ascii="Times New Roman" w:hAnsi="Times New Roman"/>
          <w:b w:val="0"/>
          <w:bCs w:val="0"/>
          <w:sz w:val="24"/>
          <w:szCs w:val="24"/>
        </w:rPr>
      </w:pPr>
    </w:p>
    <w:p w14:paraId="2708C5CA">
      <w:pPr>
        <w:jc w:val="both"/>
        <w:rPr>
          <w:rFonts w:hint="default" w:ascii="Times New Roman" w:hAnsi="Times New Roman"/>
          <w:b w:val="0"/>
          <w:bCs w:val="0"/>
          <w:sz w:val="24"/>
          <w:szCs w:val="24"/>
        </w:rPr>
      </w:pPr>
      <w:r>
        <w:rPr>
          <w:rFonts w:hint="default" w:ascii="Times New Roman" w:hAnsi="Times New Roman"/>
          <w:b w:val="0"/>
          <w:bCs w:val="0"/>
          <w:sz w:val="24"/>
          <w:szCs w:val="24"/>
        </w:rPr>
        <w:t>Patients with HG glioma had 4.25 times higher hazard of death compared to the reference group.</w:t>
      </w:r>
    </w:p>
    <w:p w14:paraId="33CAD758">
      <w:pPr>
        <w:jc w:val="both"/>
        <w:rPr>
          <w:rFonts w:hint="default" w:ascii="Times New Roman" w:hAnsi="Times New Roman"/>
          <w:b w:val="0"/>
          <w:bCs w:val="0"/>
          <w:sz w:val="24"/>
          <w:szCs w:val="24"/>
        </w:rPr>
      </w:pPr>
    </w:p>
    <w:p w14:paraId="604EA7E5">
      <w:pPr>
        <w:jc w:val="both"/>
        <w:rPr>
          <w:rFonts w:hint="default" w:ascii="Times New Roman" w:hAnsi="Times New Roman"/>
          <w:b w:val="0"/>
          <w:bCs w:val="0"/>
          <w:sz w:val="24"/>
          <w:szCs w:val="24"/>
        </w:rPr>
      </w:pPr>
      <w:r>
        <w:rPr>
          <w:rFonts w:hint="default" w:ascii="Times New Roman" w:hAnsi="Times New Roman"/>
          <w:b w:val="0"/>
          <w:bCs w:val="0"/>
          <w:sz w:val="24"/>
          <w:szCs w:val="24"/>
        </w:rPr>
        <w:t>This is statistically significant.</w:t>
      </w:r>
    </w:p>
    <w:p w14:paraId="1B3DE89C">
      <w:pPr>
        <w:jc w:val="both"/>
        <w:rPr>
          <w:rFonts w:hint="default" w:ascii="Times New Roman" w:hAnsi="Times New Roman"/>
          <w:b w:val="0"/>
          <w:bCs w:val="0"/>
          <w:sz w:val="24"/>
          <w:szCs w:val="24"/>
        </w:rPr>
      </w:pPr>
    </w:p>
    <w:p w14:paraId="557DA2AB">
      <w:pPr>
        <w:jc w:val="both"/>
        <w:rPr>
          <w:rFonts w:hint="default" w:ascii="Times New Roman" w:hAnsi="Times New Roman"/>
          <w:b w:val="0"/>
          <w:bCs w:val="0"/>
          <w:sz w:val="24"/>
          <w:szCs w:val="24"/>
        </w:rPr>
      </w:pPr>
      <w:r>
        <w:rPr>
          <w:rFonts w:hint="default" w:ascii="Times New Roman" w:hAnsi="Times New Roman"/>
          <w:b w:val="0"/>
          <w:bCs w:val="0"/>
          <w:sz w:val="24"/>
          <w:szCs w:val="24"/>
        </w:rPr>
        <w:t>Diagnosis (2) – LG glioma</w:t>
      </w:r>
    </w:p>
    <w:p w14:paraId="71A021DC">
      <w:pPr>
        <w:jc w:val="both"/>
        <w:rPr>
          <w:rFonts w:hint="default" w:ascii="Times New Roman" w:hAnsi="Times New Roman"/>
          <w:b w:val="0"/>
          <w:bCs w:val="0"/>
          <w:sz w:val="24"/>
          <w:szCs w:val="24"/>
        </w:rPr>
      </w:pPr>
    </w:p>
    <w:p w14:paraId="066209A7">
      <w:pPr>
        <w:jc w:val="both"/>
        <w:rPr>
          <w:rFonts w:hint="default" w:ascii="Times New Roman" w:hAnsi="Times New Roman"/>
          <w:b w:val="0"/>
          <w:bCs w:val="0"/>
          <w:sz w:val="24"/>
          <w:szCs w:val="24"/>
        </w:rPr>
      </w:pPr>
      <w:r>
        <w:rPr>
          <w:rFonts w:hint="default" w:ascii="Times New Roman" w:hAnsi="Times New Roman"/>
          <w:b w:val="0"/>
          <w:bCs w:val="0"/>
          <w:sz w:val="24"/>
          <w:szCs w:val="24"/>
        </w:rPr>
        <w:t>p = .749</w:t>
      </w:r>
    </w:p>
    <w:p w14:paraId="06ED6D84">
      <w:pPr>
        <w:jc w:val="both"/>
        <w:rPr>
          <w:rFonts w:hint="default" w:ascii="Times New Roman" w:hAnsi="Times New Roman"/>
          <w:b w:val="0"/>
          <w:bCs w:val="0"/>
          <w:sz w:val="24"/>
          <w:szCs w:val="24"/>
        </w:rPr>
      </w:pPr>
    </w:p>
    <w:p w14:paraId="64F1570E">
      <w:pPr>
        <w:jc w:val="both"/>
        <w:rPr>
          <w:rFonts w:hint="default" w:ascii="Times New Roman" w:hAnsi="Times New Roman"/>
          <w:b w:val="0"/>
          <w:bCs w:val="0"/>
          <w:sz w:val="24"/>
          <w:szCs w:val="24"/>
        </w:rPr>
      </w:pPr>
      <w:r>
        <w:rPr>
          <w:rFonts w:hint="default" w:ascii="Times New Roman" w:hAnsi="Times New Roman"/>
          <w:b w:val="0"/>
          <w:bCs w:val="0"/>
          <w:sz w:val="24"/>
          <w:szCs w:val="24"/>
        </w:rPr>
        <w:t>HR = 1.265</w:t>
      </w:r>
    </w:p>
    <w:p w14:paraId="72F2E3BB">
      <w:pPr>
        <w:jc w:val="both"/>
        <w:rPr>
          <w:rFonts w:hint="default" w:ascii="Times New Roman" w:hAnsi="Times New Roman"/>
          <w:b w:val="0"/>
          <w:bCs w:val="0"/>
          <w:sz w:val="24"/>
          <w:szCs w:val="24"/>
        </w:rPr>
      </w:pPr>
    </w:p>
    <w:p w14:paraId="43DD7B83">
      <w:pPr>
        <w:jc w:val="both"/>
        <w:rPr>
          <w:rFonts w:hint="default" w:ascii="Times New Roman" w:hAnsi="Times New Roman"/>
          <w:b w:val="0"/>
          <w:bCs w:val="0"/>
          <w:sz w:val="24"/>
          <w:szCs w:val="24"/>
        </w:rPr>
      </w:pPr>
      <w:r>
        <w:rPr>
          <w:rFonts w:hint="default" w:ascii="Times New Roman" w:hAnsi="Times New Roman"/>
          <w:b w:val="0"/>
          <w:bCs w:val="0"/>
          <w:sz w:val="24"/>
          <w:szCs w:val="24"/>
        </w:rPr>
        <w:t>Not significant.</w:t>
      </w:r>
    </w:p>
    <w:p w14:paraId="4B7657C1">
      <w:pPr>
        <w:jc w:val="both"/>
        <w:rPr>
          <w:rFonts w:hint="default" w:ascii="Times New Roman" w:hAnsi="Times New Roman"/>
          <w:b w:val="0"/>
          <w:bCs w:val="0"/>
          <w:sz w:val="24"/>
          <w:szCs w:val="24"/>
        </w:rPr>
      </w:pPr>
    </w:p>
    <w:p w14:paraId="7528E509">
      <w:pPr>
        <w:jc w:val="both"/>
        <w:rPr>
          <w:rFonts w:hint="default" w:ascii="Times New Roman" w:hAnsi="Times New Roman"/>
          <w:b w:val="0"/>
          <w:bCs w:val="0"/>
          <w:sz w:val="24"/>
          <w:szCs w:val="24"/>
        </w:rPr>
      </w:pPr>
      <w:r>
        <w:rPr>
          <w:rFonts w:hint="default" w:ascii="Times New Roman" w:hAnsi="Times New Roman"/>
          <w:b w:val="0"/>
          <w:bCs w:val="0"/>
          <w:sz w:val="24"/>
          <w:szCs w:val="24"/>
        </w:rPr>
        <w:t>Diagnosis (3) – Meningioma</w:t>
      </w:r>
    </w:p>
    <w:p w14:paraId="14FC2B2C">
      <w:pPr>
        <w:jc w:val="both"/>
        <w:rPr>
          <w:rFonts w:hint="default" w:ascii="Times New Roman" w:hAnsi="Times New Roman"/>
          <w:b w:val="0"/>
          <w:bCs w:val="0"/>
          <w:sz w:val="24"/>
          <w:szCs w:val="24"/>
        </w:rPr>
      </w:pPr>
    </w:p>
    <w:p w14:paraId="539F9410">
      <w:pPr>
        <w:jc w:val="both"/>
        <w:rPr>
          <w:rFonts w:hint="default" w:ascii="Times New Roman" w:hAnsi="Times New Roman"/>
          <w:b w:val="0"/>
          <w:bCs w:val="0"/>
          <w:sz w:val="24"/>
          <w:szCs w:val="24"/>
        </w:rPr>
      </w:pPr>
      <w:r>
        <w:rPr>
          <w:rFonts w:hint="default" w:ascii="Times New Roman" w:hAnsi="Times New Roman"/>
          <w:b w:val="0"/>
          <w:bCs w:val="0"/>
          <w:sz w:val="24"/>
          <w:szCs w:val="24"/>
        </w:rPr>
        <w:t>p = .231</w:t>
      </w:r>
    </w:p>
    <w:p w14:paraId="519A3A14">
      <w:pPr>
        <w:jc w:val="both"/>
        <w:rPr>
          <w:rFonts w:hint="default" w:ascii="Times New Roman" w:hAnsi="Times New Roman"/>
          <w:b w:val="0"/>
          <w:bCs w:val="0"/>
          <w:sz w:val="24"/>
          <w:szCs w:val="24"/>
        </w:rPr>
      </w:pPr>
    </w:p>
    <w:p w14:paraId="28450300">
      <w:pPr>
        <w:jc w:val="both"/>
        <w:rPr>
          <w:rFonts w:hint="default" w:ascii="Times New Roman" w:hAnsi="Times New Roman"/>
          <w:b w:val="0"/>
          <w:bCs w:val="0"/>
          <w:sz w:val="24"/>
          <w:szCs w:val="24"/>
        </w:rPr>
      </w:pPr>
      <w:r>
        <w:rPr>
          <w:rFonts w:hint="default" w:ascii="Times New Roman" w:hAnsi="Times New Roman"/>
          <w:b w:val="0"/>
          <w:bCs w:val="0"/>
          <w:sz w:val="24"/>
          <w:szCs w:val="24"/>
        </w:rPr>
        <w:t>HR = 0.491</w:t>
      </w:r>
    </w:p>
    <w:p w14:paraId="1F7BE7DA">
      <w:pPr>
        <w:jc w:val="both"/>
        <w:rPr>
          <w:rFonts w:hint="default" w:ascii="Times New Roman" w:hAnsi="Times New Roman"/>
          <w:b w:val="0"/>
          <w:bCs w:val="0"/>
          <w:sz w:val="24"/>
          <w:szCs w:val="24"/>
        </w:rPr>
      </w:pPr>
    </w:p>
    <w:p w14:paraId="516CC713">
      <w:pPr>
        <w:jc w:val="both"/>
        <w:rPr>
          <w:rFonts w:hint="default" w:ascii="Times New Roman" w:hAnsi="Times New Roman"/>
          <w:b w:val="0"/>
          <w:bCs w:val="0"/>
          <w:sz w:val="24"/>
          <w:szCs w:val="24"/>
        </w:rPr>
      </w:pPr>
      <w:r>
        <w:rPr>
          <w:rFonts w:hint="default" w:ascii="Times New Roman" w:hAnsi="Times New Roman"/>
          <w:b w:val="0"/>
          <w:bCs w:val="0"/>
          <w:sz w:val="24"/>
          <w:szCs w:val="24"/>
        </w:rPr>
        <w:t>Lower hazard but not significant.</w:t>
      </w:r>
    </w:p>
    <w:p w14:paraId="1238ADBD">
      <w:pPr>
        <w:jc w:val="both"/>
        <w:rPr>
          <w:rFonts w:hint="default" w:ascii="Times New Roman" w:hAnsi="Times New Roman"/>
          <w:b w:val="0"/>
          <w:bCs w:val="0"/>
          <w:sz w:val="24"/>
          <w:szCs w:val="24"/>
        </w:rPr>
      </w:pPr>
    </w:p>
    <w:p w14:paraId="639B1559">
      <w:pPr>
        <w:jc w:val="both"/>
        <w:rPr>
          <w:rFonts w:hint="default" w:ascii="Times New Roman" w:hAnsi="Times New Roman"/>
          <w:b w:val="0"/>
          <w:bCs w:val="0"/>
          <w:sz w:val="24"/>
          <w:szCs w:val="24"/>
        </w:rPr>
      </w:pPr>
      <w:r>
        <w:rPr>
          <w:rFonts w:hint="default" w:ascii="Times New Roman" w:hAnsi="Times New Roman"/>
          <w:b w:val="0"/>
          <w:bCs w:val="0"/>
          <w:sz w:val="24"/>
          <w:szCs w:val="24"/>
        </w:rPr>
        <w:t>Treatment method</w:t>
      </w:r>
    </w:p>
    <w:p w14:paraId="53BC0DEC">
      <w:pPr>
        <w:jc w:val="both"/>
        <w:rPr>
          <w:rFonts w:hint="default" w:ascii="Times New Roman" w:hAnsi="Times New Roman"/>
          <w:b w:val="0"/>
          <w:bCs w:val="0"/>
          <w:sz w:val="24"/>
          <w:szCs w:val="24"/>
        </w:rPr>
      </w:pPr>
    </w:p>
    <w:p w14:paraId="048C542C">
      <w:pPr>
        <w:jc w:val="both"/>
        <w:rPr>
          <w:rFonts w:hint="default" w:ascii="Times New Roman" w:hAnsi="Times New Roman"/>
          <w:b w:val="0"/>
          <w:bCs w:val="0"/>
          <w:sz w:val="24"/>
          <w:szCs w:val="24"/>
        </w:rPr>
      </w:pPr>
      <w:r>
        <w:rPr>
          <w:rFonts w:hint="default" w:ascii="Times New Roman" w:hAnsi="Times New Roman"/>
          <w:b w:val="0"/>
          <w:bCs w:val="0"/>
          <w:sz w:val="24"/>
          <w:szCs w:val="24"/>
        </w:rPr>
        <w:t>p = .509</w:t>
      </w:r>
    </w:p>
    <w:p w14:paraId="70D5EC6E">
      <w:pPr>
        <w:jc w:val="both"/>
        <w:rPr>
          <w:rFonts w:hint="default" w:ascii="Times New Roman" w:hAnsi="Times New Roman"/>
          <w:b w:val="0"/>
          <w:bCs w:val="0"/>
          <w:sz w:val="24"/>
          <w:szCs w:val="24"/>
        </w:rPr>
      </w:pPr>
    </w:p>
    <w:p w14:paraId="1BA3C20C">
      <w:pPr>
        <w:jc w:val="both"/>
        <w:rPr>
          <w:rFonts w:hint="default" w:ascii="Times New Roman" w:hAnsi="Times New Roman"/>
          <w:b w:val="0"/>
          <w:bCs w:val="0"/>
          <w:sz w:val="24"/>
          <w:szCs w:val="24"/>
        </w:rPr>
      </w:pPr>
      <w:r>
        <w:rPr>
          <w:rFonts w:hint="default" w:ascii="Times New Roman" w:hAnsi="Times New Roman"/>
          <w:b w:val="0"/>
          <w:bCs w:val="0"/>
          <w:sz w:val="24"/>
          <w:szCs w:val="24"/>
        </w:rPr>
        <w:t>HR = 0.700</w:t>
      </w:r>
    </w:p>
    <w:p w14:paraId="4F600DBB">
      <w:pPr>
        <w:jc w:val="both"/>
        <w:rPr>
          <w:rFonts w:hint="default" w:ascii="Times New Roman" w:hAnsi="Times New Roman"/>
          <w:b w:val="0"/>
          <w:bCs w:val="0"/>
          <w:sz w:val="24"/>
          <w:szCs w:val="24"/>
        </w:rPr>
      </w:pPr>
    </w:p>
    <w:p w14:paraId="5AF9056E">
      <w:pPr>
        <w:jc w:val="both"/>
        <w:rPr>
          <w:rFonts w:hint="default" w:ascii="Times New Roman" w:hAnsi="Times New Roman"/>
          <w:b w:val="0"/>
          <w:bCs w:val="0"/>
          <w:sz w:val="24"/>
          <w:szCs w:val="24"/>
        </w:rPr>
      </w:pPr>
      <w:r>
        <w:rPr>
          <w:rFonts w:hint="default" w:ascii="Times New Roman" w:hAnsi="Times New Roman"/>
          <w:b w:val="0"/>
          <w:bCs w:val="0"/>
          <w:sz w:val="24"/>
          <w:szCs w:val="24"/>
        </w:rPr>
        <w:t>Interpretation:</w:t>
      </w:r>
    </w:p>
    <w:p w14:paraId="6B7BBABF">
      <w:pPr>
        <w:jc w:val="both"/>
        <w:rPr>
          <w:rFonts w:hint="default" w:ascii="Times New Roman" w:hAnsi="Times New Roman"/>
          <w:b w:val="0"/>
          <w:bCs w:val="0"/>
          <w:sz w:val="24"/>
          <w:szCs w:val="24"/>
        </w:rPr>
      </w:pPr>
    </w:p>
    <w:p w14:paraId="02C4F12C">
      <w:pPr>
        <w:jc w:val="both"/>
        <w:rPr>
          <w:rFonts w:hint="default" w:ascii="Times New Roman" w:hAnsi="Times New Roman"/>
          <w:b w:val="0"/>
          <w:bCs w:val="0"/>
          <w:sz w:val="24"/>
          <w:szCs w:val="24"/>
        </w:rPr>
      </w:pPr>
      <w:r>
        <w:rPr>
          <w:rFonts w:hint="default" w:ascii="Times New Roman" w:hAnsi="Times New Roman"/>
          <w:b w:val="0"/>
          <w:bCs w:val="0"/>
          <w:sz w:val="24"/>
          <w:szCs w:val="24"/>
        </w:rPr>
        <w:t>SRS patients had 30% lower hazard than SRT, but not statistically significant.</w:t>
      </w:r>
    </w:p>
    <w:p w14:paraId="09255229">
      <w:pPr>
        <w:jc w:val="both"/>
        <w:rPr>
          <w:rFonts w:hint="default" w:ascii="Times New Roman" w:hAnsi="Times New Roman"/>
          <w:b w:val="0"/>
          <w:bCs w:val="0"/>
          <w:sz w:val="24"/>
          <w:szCs w:val="24"/>
        </w:rPr>
      </w:pPr>
    </w:p>
    <w:p w14:paraId="608863D5">
      <w:pPr>
        <w:jc w:val="both"/>
        <w:rPr>
          <w:rFonts w:hint="default" w:ascii="Times New Roman" w:hAnsi="Times New Roman"/>
          <w:b w:val="0"/>
          <w:bCs w:val="0"/>
          <w:sz w:val="24"/>
          <w:szCs w:val="24"/>
        </w:rPr>
      </w:pPr>
      <w:r>
        <w:rPr>
          <w:rFonts w:hint="default" w:ascii="Times New Roman" w:hAnsi="Times New Roman"/>
          <w:b w:val="0"/>
          <w:bCs w:val="0"/>
          <w:sz w:val="24"/>
          <w:szCs w:val="24"/>
        </w:rPr>
        <w:t>KI (Karnofsky Index)</w:t>
      </w:r>
    </w:p>
    <w:p w14:paraId="09B0823D">
      <w:pPr>
        <w:jc w:val="both"/>
        <w:rPr>
          <w:rFonts w:hint="default" w:ascii="Times New Roman" w:hAnsi="Times New Roman"/>
          <w:b w:val="0"/>
          <w:bCs w:val="0"/>
          <w:sz w:val="24"/>
          <w:szCs w:val="24"/>
        </w:rPr>
      </w:pPr>
    </w:p>
    <w:p w14:paraId="48388977">
      <w:pPr>
        <w:jc w:val="both"/>
        <w:rPr>
          <w:rFonts w:hint="default" w:ascii="Times New Roman" w:hAnsi="Times New Roman"/>
          <w:b w:val="0"/>
          <w:bCs w:val="0"/>
          <w:sz w:val="24"/>
          <w:szCs w:val="24"/>
        </w:rPr>
      </w:pPr>
      <w:r>
        <w:rPr>
          <w:rFonts w:hint="default" w:ascii="Times New Roman" w:hAnsi="Times New Roman"/>
          <w:b w:val="0"/>
          <w:bCs w:val="0"/>
          <w:sz w:val="24"/>
          <w:szCs w:val="24"/>
        </w:rPr>
        <w:t>p = .002</w:t>
      </w:r>
    </w:p>
    <w:p w14:paraId="25CB9126">
      <w:pPr>
        <w:jc w:val="both"/>
        <w:rPr>
          <w:rFonts w:hint="default" w:ascii="Times New Roman" w:hAnsi="Times New Roman"/>
          <w:b w:val="0"/>
          <w:bCs w:val="0"/>
          <w:sz w:val="24"/>
          <w:szCs w:val="24"/>
        </w:rPr>
      </w:pPr>
    </w:p>
    <w:p w14:paraId="2ECCCA43">
      <w:pPr>
        <w:jc w:val="both"/>
        <w:rPr>
          <w:rFonts w:hint="default" w:ascii="Times New Roman" w:hAnsi="Times New Roman"/>
          <w:b w:val="0"/>
          <w:bCs w:val="0"/>
          <w:sz w:val="24"/>
          <w:szCs w:val="24"/>
        </w:rPr>
      </w:pPr>
      <w:r>
        <w:rPr>
          <w:rFonts w:hint="default" w:ascii="Times New Roman" w:hAnsi="Times New Roman"/>
          <w:b w:val="0"/>
          <w:bCs w:val="0"/>
          <w:sz w:val="24"/>
          <w:szCs w:val="24"/>
        </w:rPr>
        <w:t>HR = 0.946</w:t>
      </w:r>
    </w:p>
    <w:p w14:paraId="0FC5BDC9">
      <w:pPr>
        <w:jc w:val="both"/>
        <w:rPr>
          <w:rFonts w:hint="default" w:ascii="Times New Roman" w:hAnsi="Times New Roman"/>
          <w:b w:val="0"/>
          <w:bCs w:val="0"/>
          <w:sz w:val="24"/>
          <w:szCs w:val="24"/>
        </w:rPr>
      </w:pPr>
    </w:p>
    <w:p w14:paraId="5BAA0B29">
      <w:pPr>
        <w:jc w:val="both"/>
        <w:rPr>
          <w:rFonts w:hint="default" w:ascii="Times New Roman" w:hAnsi="Times New Roman"/>
          <w:b w:val="0"/>
          <w:bCs w:val="0"/>
          <w:sz w:val="24"/>
          <w:szCs w:val="24"/>
        </w:rPr>
      </w:pPr>
      <w:r>
        <w:rPr>
          <w:rFonts w:hint="default" w:ascii="Times New Roman" w:hAnsi="Times New Roman"/>
          <w:b w:val="0"/>
          <w:bCs w:val="0"/>
          <w:sz w:val="24"/>
          <w:szCs w:val="24"/>
        </w:rPr>
        <w:t>This IS significant.</w:t>
      </w:r>
    </w:p>
    <w:p w14:paraId="1D398897">
      <w:pPr>
        <w:jc w:val="both"/>
        <w:rPr>
          <w:rFonts w:hint="default" w:ascii="Times New Roman" w:hAnsi="Times New Roman"/>
          <w:b w:val="0"/>
          <w:bCs w:val="0"/>
          <w:sz w:val="24"/>
          <w:szCs w:val="24"/>
        </w:rPr>
      </w:pPr>
    </w:p>
    <w:p w14:paraId="75B7AC73">
      <w:pPr>
        <w:jc w:val="both"/>
        <w:rPr>
          <w:rFonts w:hint="default" w:ascii="Times New Roman" w:hAnsi="Times New Roman"/>
          <w:b w:val="0"/>
          <w:bCs w:val="0"/>
          <w:sz w:val="24"/>
          <w:szCs w:val="24"/>
        </w:rPr>
      </w:pPr>
      <w:r>
        <w:rPr>
          <w:rFonts w:hint="default" w:ascii="Times New Roman" w:hAnsi="Times New Roman"/>
          <w:b w:val="0"/>
          <w:bCs w:val="0"/>
          <w:sz w:val="24"/>
          <w:szCs w:val="24"/>
        </w:rPr>
        <w:t>Interpretation:</w:t>
      </w:r>
    </w:p>
    <w:p w14:paraId="38D6C30D">
      <w:pPr>
        <w:jc w:val="both"/>
        <w:rPr>
          <w:rFonts w:hint="default" w:ascii="Times New Roman" w:hAnsi="Times New Roman"/>
          <w:b w:val="0"/>
          <w:bCs w:val="0"/>
          <w:sz w:val="24"/>
          <w:szCs w:val="24"/>
        </w:rPr>
      </w:pPr>
    </w:p>
    <w:p w14:paraId="09CC993D">
      <w:pPr>
        <w:jc w:val="both"/>
        <w:rPr>
          <w:rFonts w:hint="default" w:ascii="Times New Roman" w:hAnsi="Times New Roman"/>
          <w:b w:val="0"/>
          <w:bCs w:val="0"/>
          <w:sz w:val="24"/>
          <w:szCs w:val="24"/>
        </w:rPr>
      </w:pPr>
      <w:r>
        <w:rPr>
          <w:rFonts w:hint="default" w:ascii="Times New Roman" w:hAnsi="Times New Roman"/>
          <w:b w:val="0"/>
          <w:bCs w:val="0"/>
          <w:sz w:val="24"/>
          <w:szCs w:val="24"/>
        </w:rPr>
        <w:t>Each 1-unit increase in KI reduces death hazard by 5.4%.</w:t>
      </w:r>
    </w:p>
    <w:p w14:paraId="62B9D711">
      <w:pPr>
        <w:jc w:val="both"/>
        <w:rPr>
          <w:rFonts w:hint="default" w:ascii="Times New Roman" w:hAnsi="Times New Roman"/>
          <w:b w:val="0"/>
          <w:bCs w:val="0"/>
          <w:sz w:val="24"/>
          <w:szCs w:val="24"/>
        </w:rPr>
      </w:pPr>
    </w:p>
    <w:p w14:paraId="230EF007">
      <w:pPr>
        <w:jc w:val="both"/>
        <w:rPr>
          <w:rFonts w:hint="default" w:ascii="Times New Roman" w:hAnsi="Times New Roman"/>
          <w:b w:val="0"/>
          <w:bCs w:val="0"/>
          <w:sz w:val="24"/>
          <w:szCs w:val="24"/>
        </w:rPr>
      </w:pPr>
      <w:r>
        <w:rPr>
          <w:rFonts w:hint="default" w:ascii="Times New Roman" w:hAnsi="Times New Roman"/>
          <w:b w:val="0"/>
          <w:bCs w:val="0"/>
          <w:sz w:val="24"/>
          <w:szCs w:val="24"/>
        </w:rPr>
        <w:t>Meaning:</w:t>
      </w:r>
    </w:p>
    <w:p w14:paraId="565F923F">
      <w:pPr>
        <w:jc w:val="both"/>
        <w:rPr>
          <w:rFonts w:hint="default" w:ascii="Times New Roman" w:hAnsi="Times New Roman"/>
          <w:b w:val="0"/>
          <w:bCs w:val="0"/>
          <w:sz w:val="24"/>
          <w:szCs w:val="24"/>
        </w:rPr>
      </w:pPr>
      <w:r>
        <w:rPr>
          <w:rFonts w:hint="default" w:ascii="Times New Roman" w:hAnsi="Times New Roman"/>
          <w:b w:val="0"/>
          <w:bCs w:val="0"/>
          <w:sz w:val="24"/>
          <w:szCs w:val="24"/>
        </w:rPr>
        <w:t>Better functional status improves survival.</w:t>
      </w:r>
    </w:p>
    <w:p w14:paraId="5809F3CE">
      <w:pPr>
        <w:jc w:val="both"/>
        <w:rPr>
          <w:rFonts w:hint="default" w:ascii="Times New Roman" w:hAnsi="Times New Roman"/>
          <w:b w:val="0"/>
          <w:bCs w:val="0"/>
          <w:sz w:val="24"/>
          <w:szCs w:val="24"/>
        </w:rPr>
      </w:pPr>
      <w:r>
        <w:rPr>
          <w:rFonts w:hint="default" w:ascii="Times New Roman" w:hAnsi="Times New Roman"/>
          <w:b w:val="0"/>
          <w:bCs w:val="0"/>
          <w:sz w:val="24"/>
          <w:szCs w:val="24"/>
        </w:rPr>
        <w:t>GTV (tumor volume)</w:t>
      </w:r>
    </w:p>
    <w:p w14:paraId="7CDBFAAC">
      <w:pPr>
        <w:jc w:val="both"/>
        <w:rPr>
          <w:rFonts w:hint="default" w:ascii="Times New Roman" w:hAnsi="Times New Roman"/>
          <w:b w:val="0"/>
          <w:bCs w:val="0"/>
          <w:sz w:val="24"/>
          <w:szCs w:val="24"/>
        </w:rPr>
      </w:pPr>
      <w:r>
        <w:rPr>
          <w:rFonts w:hint="default" w:ascii="Times New Roman" w:hAnsi="Times New Roman"/>
          <w:b w:val="0"/>
          <w:bCs w:val="0"/>
          <w:sz w:val="24"/>
          <w:szCs w:val="24"/>
        </w:rPr>
        <w:t>p = .108</w:t>
      </w:r>
    </w:p>
    <w:p w14:paraId="04CC5DC7">
      <w:pPr>
        <w:jc w:val="both"/>
        <w:rPr>
          <w:rFonts w:hint="default" w:ascii="Times New Roman" w:hAnsi="Times New Roman"/>
          <w:b w:val="0"/>
          <w:bCs w:val="0"/>
          <w:sz w:val="24"/>
          <w:szCs w:val="24"/>
        </w:rPr>
      </w:pPr>
      <w:r>
        <w:rPr>
          <w:rFonts w:hint="default" w:ascii="Times New Roman" w:hAnsi="Times New Roman"/>
          <w:b w:val="0"/>
          <w:bCs w:val="0"/>
          <w:sz w:val="24"/>
          <w:szCs w:val="24"/>
        </w:rPr>
        <w:t>HR = 1.036</w:t>
      </w:r>
    </w:p>
    <w:p w14:paraId="5FABD594">
      <w:pPr>
        <w:jc w:val="both"/>
        <w:rPr>
          <w:rFonts w:hint="default" w:ascii="Times New Roman" w:hAnsi="Times New Roman"/>
          <w:b w:val="0"/>
          <w:bCs w:val="0"/>
          <w:sz w:val="24"/>
          <w:szCs w:val="24"/>
        </w:rPr>
      </w:pPr>
      <w:r>
        <w:rPr>
          <w:rFonts w:hint="default" w:ascii="Times New Roman" w:hAnsi="Times New Roman"/>
          <w:b w:val="0"/>
          <w:bCs w:val="0"/>
          <w:sz w:val="24"/>
          <w:szCs w:val="24"/>
        </w:rPr>
        <w:t>Not significant.</w:t>
      </w:r>
    </w:p>
    <w:p w14:paraId="1A17D51D">
      <w:pPr>
        <w:jc w:val="both"/>
        <w:rPr>
          <w:rFonts w:hint="default" w:ascii="Times New Roman" w:hAnsi="Times New Roman"/>
          <w:b w:val="0"/>
          <w:bCs w:val="0"/>
          <w:sz w:val="24"/>
          <w:szCs w:val="24"/>
        </w:rPr>
      </w:pPr>
    </w:p>
    <w:p w14:paraId="3EC3E833">
      <w:pPr>
        <w:jc w:val="both"/>
        <w:rPr>
          <w:rFonts w:hint="default" w:ascii="Times New Roman" w:hAnsi="Times New Roman"/>
          <w:b w:val="0"/>
          <w:bCs w:val="0"/>
          <w:sz w:val="24"/>
          <w:szCs w:val="24"/>
        </w:rPr>
      </w:pPr>
      <w:r>
        <w:rPr>
          <w:b w:val="0"/>
          <w:bCs w:val="0"/>
          <w:sz w:val="24"/>
          <w:szCs w:val="24"/>
        </w:rPr>
        <w:drawing>
          <wp:anchor distT="0" distB="0" distL="114300" distR="114300" simplePos="0" relativeHeight="251659264" behindDoc="0" locked="0" layoutInCell="1" allowOverlap="1">
            <wp:simplePos x="0" y="0"/>
            <wp:positionH relativeFrom="column">
              <wp:posOffset>-181610</wp:posOffset>
            </wp:positionH>
            <wp:positionV relativeFrom="paragraph">
              <wp:posOffset>28575</wp:posOffset>
            </wp:positionV>
            <wp:extent cx="5105400" cy="2066925"/>
            <wp:effectExtent l="0" t="0" r="0" b="5715"/>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4"/>
                    <a:stretch>
                      <a:fillRect/>
                    </a:stretch>
                  </pic:blipFill>
                  <pic:spPr>
                    <a:xfrm>
                      <a:off x="0" y="0"/>
                      <a:ext cx="5105400" cy="2066925"/>
                    </a:xfrm>
                    <a:prstGeom prst="rect">
                      <a:avLst/>
                    </a:prstGeom>
                    <a:noFill/>
                    <a:ln>
                      <a:noFill/>
                    </a:ln>
                  </pic:spPr>
                </pic:pic>
              </a:graphicData>
            </a:graphic>
          </wp:anchor>
        </w:drawing>
      </w:r>
    </w:p>
    <w:p w14:paraId="24568626">
      <w:pPr>
        <w:jc w:val="both"/>
        <w:rPr>
          <w:rFonts w:hint="default" w:ascii="Times New Roman" w:hAnsi="Times New Roman"/>
          <w:b w:val="0"/>
          <w:bCs w:val="0"/>
          <w:sz w:val="24"/>
          <w:szCs w:val="24"/>
        </w:rPr>
      </w:pPr>
    </w:p>
    <w:p w14:paraId="0414BEC2">
      <w:pPr>
        <w:jc w:val="both"/>
        <w:rPr>
          <w:rFonts w:hint="default" w:ascii="Times New Roman" w:hAnsi="Times New Roman"/>
          <w:b w:val="0"/>
          <w:bCs w:val="0"/>
          <w:sz w:val="24"/>
          <w:szCs w:val="24"/>
        </w:rPr>
      </w:pPr>
    </w:p>
    <w:p w14:paraId="57DED3B7">
      <w:pPr>
        <w:jc w:val="both"/>
        <w:rPr>
          <w:rFonts w:hint="default" w:ascii="Times New Roman" w:hAnsi="Times New Roman"/>
          <w:b w:val="0"/>
          <w:bCs w:val="0"/>
          <w:sz w:val="24"/>
          <w:szCs w:val="24"/>
        </w:rPr>
      </w:pPr>
    </w:p>
    <w:p w14:paraId="3CAC99CC">
      <w:pPr>
        <w:jc w:val="both"/>
        <w:rPr>
          <w:rFonts w:hint="default" w:ascii="Times New Roman" w:hAnsi="Times New Roman"/>
          <w:b w:val="0"/>
          <w:bCs w:val="0"/>
          <w:sz w:val="24"/>
          <w:szCs w:val="24"/>
        </w:rPr>
      </w:pPr>
    </w:p>
    <w:p w14:paraId="0489AF5D">
      <w:pPr>
        <w:jc w:val="both"/>
        <w:rPr>
          <w:rFonts w:hint="default" w:ascii="Times New Roman" w:hAnsi="Times New Roman"/>
          <w:b w:val="0"/>
          <w:bCs w:val="0"/>
          <w:sz w:val="24"/>
          <w:szCs w:val="24"/>
        </w:rPr>
      </w:pPr>
    </w:p>
    <w:p w14:paraId="7EA23304">
      <w:pPr>
        <w:jc w:val="both"/>
        <w:rPr>
          <w:rFonts w:hint="default" w:ascii="Times New Roman" w:hAnsi="Times New Roman"/>
          <w:b w:val="0"/>
          <w:bCs w:val="0"/>
          <w:sz w:val="24"/>
          <w:szCs w:val="24"/>
        </w:rPr>
      </w:pPr>
    </w:p>
    <w:p w14:paraId="6162D2E8">
      <w:pPr>
        <w:jc w:val="both"/>
        <w:rPr>
          <w:rFonts w:hint="default" w:ascii="Times New Roman" w:hAnsi="Times New Roman"/>
          <w:b/>
          <w:bCs/>
          <w:sz w:val="32"/>
          <w:szCs w:val="32"/>
          <w:lang w:val="en-US"/>
        </w:rPr>
      </w:pPr>
      <w:r>
        <w:rPr>
          <w:rFonts w:hint="default" w:ascii="Times New Roman" w:hAnsi="Times New Roman"/>
          <w:b/>
          <w:bCs/>
          <w:sz w:val="32"/>
          <w:szCs w:val="32"/>
          <w:lang w:val="en-US"/>
        </w:rPr>
        <w:t>Interpretation</w:t>
      </w:r>
    </w:p>
    <w:p w14:paraId="3DE93B52">
      <w:pPr>
        <w:jc w:val="both"/>
        <w:rPr>
          <w:rFonts w:hint="default" w:ascii="Times New Roman" w:hAnsi="Times New Roman"/>
          <w:b w:val="0"/>
          <w:bCs w:val="0"/>
          <w:sz w:val="24"/>
          <w:szCs w:val="24"/>
        </w:rPr>
      </w:pPr>
    </w:p>
    <w:p w14:paraId="16822546">
      <w:pPr>
        <w:jc w:val="both"/>
        <w:rPr>
          <w:rFonts w:hint="default" w:ascii="Times New Roman" w:hAnsi="Times New Roman" w:cs="Times New Roman"/>
          <w:b w:val="0"/>
          <w:bCs w:val="0"/>
          <w:sz w:val="24"/>
          <w:szCs w:val="24"/>
        </w:rPr>
      </w:pPr>
      <w:r>
        <w:rPr>
          <w:rFonts w:hint="default" w:ascii="Times New Roman" w:hAnsi="Times New Roman"/>
          <w:b w:val="0"/>
          <w:bCs w:val="0"/>
          <w:sz w:val="24"/>
          <w:szCs w:val="24"/>
        </w:rPr>
        <w:t>A Cox proportional hazards regression an</w:t>
      </w:r>
      <w:bookmarkStart w:id="0" w:name="_GoBack"/>
      <w:bookmarkEnd w:id="0"/>
      <w:r>
        <w:rPr>
          <w:rFonts w:hint="default" w:ascii="Times New Roman" w:hAnsi="Times New Roman"/>
          <w:b w:val="0"/>
          <w:bCs w:val="0"/>
          <w:sz w:val="24"/>
          <w:szCs w:val="24"/>
        </w:rPr>
        <w:t>alysis was conducted to examine the effects of sex, diagnosis, treatment method, Karnofsky Index (KI), and gross tumor volume (GTV) on patient survival. The overall effect of diagnosis was significant, Wald χ²(3) = 25.32, p &lt; .001. Patients with high-grade glioma showed a significantly higher risk of mortality compared to the reference group (HR = 4.25, p = .009). KI was also a significant predictor of survival (HR = 0.946, p = .002), indicating that higher functional status was associated with reduced mortality risk. Sex (HR = 0.852, p = .655), treatment method (HR = 0.700, p = .509), and GTV (HR = 1.036, p = .108) were not significant predictors of survival.</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C87BB3"/>
    <w:rsid w:val="34C87B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2026-03-06T03:52:00Z</dcterms:created>
  <dc:creator>WPS_1739854164</dc:creator>
  <cp:lastModifiedBy>WPS_1739854164</cp:lastModifiedBy>
  <dcterms:modified xsi:type="dcterms:W3CDTF">2026-03-06T03:58:43Z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E8E7EC5CE6634930865ED851DD2B9C1F_11</vt:lpwstr>
  </property>
</Properties>
</file>