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  <w:rtl w:val="0"/>
        </w:rPr>
        <w:t xml:space="preserve">ML Assignment 5 – Random Forest, Naive Bayes, SVM</w:t>
      </w:r>
    </w:p>
    <w:p w:rsidR="00000000" w:rsidDel="00000000" w:rsidP="00000000" w:rsidRDefault="00000000" w:rsidRPr="00000000" w14:paraId="00000002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  <w:rtl w:val="0"/>
        </w:rPr>
        <w:t xml:space="preserve">Crowdfunding Campaign Success Prediction</w:t>
      </w:r>
    </w:p>
    <w:p w:rsidR="00000000" w:rsidDel="00000000" w:rsidP="00000000" w:rsidRDefault="00000000" w:rsidRPr="00000000" w14:paraId="00000003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goal of this assignment is to develop and evaluate predictive classifier models to determine the success of crowdfunding campaigns based on a variety of campaign features. The dataset includes factors such as financial goals, actual funds raised, campaign duration, and backer engagement. By building and comparing three distinct machine learning models — Random Forest, Naive Bayes, and Support Vector Machine (SVM) — you will assess which model best predicts the success of crowdfunding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Dataset Link: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right="-90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https://raw.githubusercontent.com/ArchanaInsights/Datasets/refs/heads/main/crowdfunding_campaign.csv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00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u w:val="single"/>
          <w:rtl w:val="0"/>
        </w:rPr>
        <w:t xml:space="preserve">Machine Learning Model Building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Load the Dataset: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Load the dataset and perform an initial exploration to understand its structure and content.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Handle Missing Values: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Check for and handle any missing values in the dataset if present.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Encode Categorical Features: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Convert categorical features into numerical format using appropriate encoding techniques.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Feature Selection: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Select the relevant features and the target variable for your analysis.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Data Splitting: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Split the dataset into training and testing sets (e.g., 75% training, 25% testing).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Feature Scaling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: Standardize or normalize numerical features using parameters derived from the training set, and apply the same scaling to the test set.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Random Forest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 Random Forest model using the training dataset. Experiment with different values for the number of trees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n_estimators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 in the forest and maximum depth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max_depth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 and report the accuracy score.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Naive Bayes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 Naive Bayes model using the training dataset. You can choose between Gaussian, Multinomial, or Bernoulli based on the nature of your features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GaussianNB()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for continuous features).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 and report the accuracy score.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Support Vector Machine (SVM) - 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Building: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Build an SVM model using the training dataset. Experiment with different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rtl w:val="0"/>
        </w:rPr>
        <w:t xml:space="preserve">kernel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functions (e.g., linear, RBF)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Model Evaluation: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Evaluate the model on the testing dataset and report the accuracy score.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240" w:lineRule="auto"/>
        <w:ind w:left="540" w:hanging="180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Comparison and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Compare the accuracy scores of the three models.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Discuss which model performed best and why, based on the accuracy scores and other relevant factors.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900" w:hanging="9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Reflect on the strengths and weaknesses of each model in the context of this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4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bullet"/>
      <w:lvlText w:val="%1.%2.➢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➢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➢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➢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➢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➢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➢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rchanaInsights/Datasets/refs/heads/main/crowdfunding_campaign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