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870" w:hanging="360"/>
        <w:rPr>
          <w:sz w:val="46"/>
          <w:szCs w:val="46"/>
        </w:rPr>
      </w:pPr>
      <w:bookmarkStart w:colFirst="0" w:colLast="0" w:name="_i6i64t3bpaqd" w:id="0"/>
      <w:bookmarkEnd w:id="0"/>
      <w:r w:rsidDel="00000000" w:rsidR="00000000" w:rsidRPr="00000000">
        <w:rPr>
          <w:sz w:val="46"/>
          <w:szCs w:val="46"/>
          <w:rtl w:val="0"/>
        </w:rPr>
        <w:t xml:space="preserve">Standalone End-to-End Projects 🚀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/>
      </w:pPr>
      <w:r w:rsidDel="00000000" w:rsidR="00000000" w:rsidRPr="00000000">
        <w:rPr>
          <w:rtl w:val="0"/>
        </w:rPr>
        <w:t xml:space="preserve">This folder contains standalone deep learning projects that combine data processing, model construction, training, evaluation, and inference.</w:t>
      </w:r>
    </w:p>
    <w:p w:rsidR="00000000" w:rsidDel="00000000" w:rsidP="00000000" w:rsidRDefault="00000000" w:rsidRPr="00000000" w14:paraId="00000003">
      <w:pPr>
        <w:pStyle w:val="Heading2"/>
        <w:spacing w:after="80" w:before="360" w:line="275.9999942779541" w:lineRule="auto"/>
        <w:ind w:left="870" w:hanging="360"/>
        <w:rPr>
          <w:sz w:val="34"/>
          <w:szCs w:val="34"/>
        </w:rPr>
      </w:pPr>
      <w:bookmarkStart w:colFirst="0" w:colLast="0" w:name="_uopeuzt5bluq" w:id="1"/>
      <w:bookmarkEnd w:id="1"/>
      <w:r w:rsidDel="00000000" w:rsidR="00000000" w:rsidRPr="00000000">
        <w:rPr>
          <w:sz w:val="34"/>
          <w:szCs w:val="34"/>
          <w:rtl w:val="0"/>
        </w:rPr>
        <w:t xml:space="preserve">📁 Projects Included</w:t>
      </w:r>
    </w:p>
    <w:p w:rsidR="00000000" w:rsidDel="00000000" w:rsidP="00000000" w:rsidRDefault="00000000" w:rsidRPr="00000000" w14:paraId="00000004">
      <w:pPr>
        <w:pStyle w:val="Heading3"/>
        <w:spacing w:after="80" w:before="280" w:line="275.9999942779541" w:lineRule="auto"/>
        <w:ind w:left="870" w:hanging="360"/>
        <w:rPr>
          <w:rFonts w:ascii="Roboto Mono" w:cs="Roboto Mono" w:eastAsia="Roboto Mono" w:hAnsi="Roboto Mono"/>
          <w:sz w:val="26"/>
          <w:szCs w:val="26"/>
        </w:rPr>
      </w:pPr>
      <w:bookmarkStart w:colFirst="0" w:colLast="0" w:name="_hlf1evgwz5w5" w:id="2"/>
      <w:bookmarkEnd w:id="2"/>
      <w:r w:rsidDel="00000000" w:rsidR="00000000" w:rsidRPr="00000000">
        <w:rPr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01_QA_System_RNN/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Pytroch_RNN_based_QA_System.py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end-to-end Question Answering System built using Recurrent Neural Networks (RNNs).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Sequence data handling and text tokenization.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Embedding layers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nn.Embedding</w:t>
      </w:r>
      <w:r w:rsidDel="00000000" w:rsidR="00000000" w:rsidRPr="00000000">
        <w:rPr>
          <w:rtl w:val="0"/>
        </w:rPr>
        <w:t xml:space="preserve">) for text representations.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Sequential modeling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nn.RNN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/>
      </w:pPr>
      <w:r w:rsidDel="00000000" w:rsidR="00000000" w:rsidRPr="00000000">
        <w:rPr>
          <w:rtl w:val="0"/>
        </w:rPr>
        <w:t xml:space="preserve">Model inference pipeline for natural language query processing.</w:t>
      </w:r>
    </w:p>
    <w:p w:rsidR="00000000" w:rsidDel="00000000" w:rsidP="00000000" w:rsidRDefault="00000000" w:rsidRPr="00000000" w14:paraId="0000000C">
      <w:pPr>
        <w:spacing w:after="240" w:before="240" w:line="275.9999942779541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Additional sequence modeling projects, such as an LSTM-based Next Word Predictor, can be stored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rtl w:val="0"/>
        </w:rPr>
        <w:t xml:space="preserve">02_Next_Word_Predictor_LSTM/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70" w:hanging="3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