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GTitle"/>
      </w:pPr>
      <w:r>
        <w:t>Technical Memo: WindGuard AI (WTBD RT-DETR + Reasoning API)</w:t>
      </w:r>
    </w:p>
    <w:p>
      <w:pPr>
        <w:pStyle w:val="WGMeta"/>
        <w:spacing w:before="40" w:after="60"/>
      </w:pPr>
      <w:r>
        <w:t>Candidate: ML Engineering Intern Assignment</w:t>
      </w:r>
    </w:p>
    <w:p>
      <w:pPr>
        <w:pStyle w:val="WGMeta"/>
        <w:spacing w:before="40" w:after="60"/>
      </w:pPr>
      <w:r>
        <w:t>Track: Computer Vision + Applied ML Engineering</w:t>
      </w:r>
    </w:p>
    <w:p>
      <w:pPr>
        <w:pStyle w:val="WGMeta"/>
        <w:spacing w:before="40" w:after="60"/>
      </w:pPr>
      <w:r>
        <w:t>Organization: Rapid Acceleration Partners (RAP)</w:t>
      </w:r>
    </w:p>
    <w:p>
      <w:pPr>
        <w:pStyle w:val="WGMeta"/>
        <w:spacing w:before="40" w:after="60"/>
      </w:pPr>
      <w:r>
        <w:t>Submission Date: September 13, 2026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1. Executive Summary &amp; Problem Justification</w:t>
      </w:r>
    </w:p>
    <w:p>
      <w:pPr>
        <w:pStyle w:val="WGBody"/>
        <w:spacing w:before="40" w:after="60"/>
      </w:pPr>
      <w:r>
        <w:t>Wind turbine blade failure is one of the most expensive risks in renewable energy operations. Structural damage such as surface delamination, micro-cracks, erosion, and lightning strikes can lead to catastrophic blade breakdown if unaddressed. Manual visual inspection of thousands of turbine blades via drones or high-resolution camera rigs is slow, expensive, and subject to human error.</w:t>
      </w:r>
    </w:p>
    <w:p>
      <w:pPr>
        <w:pStyle w:val="WGBody"/>
        <w:spacing w:before="40" w:after="60"/>
      </w:pPr>
      <w:r>
        <w:t>To solve this problem, WindGuard AI couples RT-DETR (Real-Time Detection Transformer) fine-tuned on the WTBD (Wind Turbine Blade Defect) dataset with a Lightweight Hand-Written Reasoning Layer (no heavy agentic frameworks). The system exposes two production FastAPI endpoints (/detect and /ask) paired with an interactive Vite + React web interface.</w:t>
      </w:r>
    </w:p>
    <w:p>
      <w:pPr>
        <w:pStyle w:val="WGH3"/>
      </w:pPr>
      <w:r>
        <w:t>Non-COCO Domain Justification</w:t>
      </w:r>
    </w:p>
    <w:p>
      <w:pPr>
        <w:pStyle w:val="WGBody"/>
        <w:spacing w:before="40" w:after="60"/>
      </w:pPr>
      <w:r>
        <w:t>Standard COCO dataset models (which recognize generic objects like car, person, dog) fail entirely on specialized industrial defect inspection. The WTBD dataset provides high-resolution industrial drone imagery covering 6 specialized non-COCO defect classes:</w:t>
      </w:r>
    </w:p>
    <w:p>
      <w:pPr>
        <w:pStyle w:val="ListNumber"/>
        <w:spacing w:before="20" w:after="20"/>
      </w:pPr>
      <w:r>
        <w:rPr>
          <w:sz w:val="20"/>
        </w:rPr>
        <w:t>delamination (Internal blade composite layer separation)</w:t>
      </w:r>
    </w:p>
    <w:p>
      <w:pPr>
        <w:pStyle w:val="ListNumber"/>
        <w:spacing w:before="20" w:after="20"/>
      </w:pPr>
      <w:r>
        <w:rPr>
          <w:sz w:val="20"/>
        </w:rPr>
        <w:t>crack (Structural surface fractures)</w:t>
      </w:r>
    </w:p>
    <w:p>
      <w:pPr>
        <w:pStyle w:val="ListNumber"/>
        <w:spacing w:before="20" w:after="20"/>
      </w:pPr>
      <w:r>
        <w:rPr>
          <w:sz w:val="20"/>
        </w:rPr>
        <w:t>erosion (Leading edge surface degradation from wind/rain)</w:t>
      </w:r>
    </w:p>
    <w:p>
      <w:pPr>
        <w:pStyle w:val="ListNumber"/>
        <w:spacing w:before="20" w:after="20"/>
      </w:pPr>
      <w:r>
        <w:rPr>
          <w:sz w:val="20"/>
        </w:rPr>
        <w:t>lightning_strike (High-voltage electrical burn pits)</w:t>
      </w:r>
    </w:p>
    <w:p>
      <w:pPr>
        <w:pStyle w:val="ListNumber"/>
        <w:spacing w:before="20" w:after="20"/>
      </w:pPr>
      <w:r>
        <w:rPr>
          <w:sz w:val="20"/>
        </w:rPr>
        <w:t>scratch (Minor surface abrasions)</w:t>
      </w:r>
    </w:p>
    <w:p>
      <w:pPr>
        <w:pStyle w:val="ListNumber"/>
        <w:spacing w:before="20" w:after="20"/>
      </w:pPr>
      <w:r>
        <w:rPr>
          <w:sz w:val="20"/>
        </w:rPr>
        <w:t>surface_injure (Composite gelcoat impact damage)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2. Dataset Sourcing, Labeling &amp; Train/Val/Test Split Strategy</w:t>
      </w:r>
    </w:p>
    <w:p>
      <w:pPr>
        <w:pStyle w:val="ListBullet"/>
        <w:spacing w:before="20" w:after="20"/>
      </w:pPr>
      <w:r>
        <w:rPr>
          <w:sz w:val="20"/>
        </w:rPr>
        <w:t>Dataset Origin**: Publicly sourced WTBD drone inspection images converted to standard COCO JSON format.</w:t>
      </w:r>
    </w:p>
    <w:p>
      <w:pPr>
        <w:pStyle w:val="ListBullet"/>
        <w:spacing w:before="20" w:after="20"/>
      </w:pPr>
      <w:r>
        <w:rPr>
          <w:sz w:val="20"/>
        </w:rPr>
        <w:t>Dataset Size**: 1,065 total high-resolution inspection images with 4,820 bounding box annotations.</w:t>
      </w:r>
    </w:p>
    <w:p>
      <w:pPr>
        <w:pStyle w:val="ListBullet"/>
        <w:spacing w:before="20" w:after="20"/>
      </w:pPr>
      <w:r>
        <w:rPr>
          <w:sz w:val="20"/>
        </w:rPr>
        <w:t>Split Strategy (70 / 15 / 15)**:</w:t>
      </w:r>
    </w:p>
    <w:p>
      <w:pPr>
        <w:pStyle w:val="ListBullet"/>
        <w:spacing w:before="20" w:after="20"/>
      </w:pPr>
      <w:r>
        <w:rPr>
          <w:sz w:val="20"/>
        </w:rPr>
        <w:t>Train Set**: 745 images (70%) — used for backpropagation fine-tuning.</w:t>
      </w:r>
    </w:p>
    <w:p>
      <w:pPr>
        <w:pStyle w:val="ListBullet"/>
        <w:spacing w:before="20" w:after="20"/>
      </w:pPr>
      <w:r>
        <w:rPr>
          <w:sz w:val="20"/>
        </w:rPr>
        <w:t>Validation Set**: 159 images (15%) — used for epoch evaluation and load_best_model_at_end.</w:t>
      </w:r>
    </w:p>
    <w:p>
      <w:pPr>
        <w:pStyle w:val="ListBullet"/>
        <w:spacing w:before="20" w:after="20"/>
      </w:pPr>
      <w:r>
        <w:rPr>
          <w:sz w:val="20"/>
        </w:rPr>
        <w:t>Test Set**: 161 images (15%) — held out strictly for final metric reporting.</w:t>
      </w:r>
    </w:p>
    <w:p>
      <w:pPr>
        <w:pStyle w:val="ListBullet"/>
        <w:spacing w:before="20" w:after="20"/>
      </w:pPr>
      <w:r>
        <w:rPr>
          <w:sz w:val="20"/>
        </w:rPr>
        <w:t>Stratification Justification**: Splitting was performed at the image level using stratified class distribution to prevent data leakage between drone inspection video frames.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3. RT-DETR Architecture &amp; Training Reproducibility</w:t>
      </w:r>
    </w:p>
    <w:p>
      <w:pPr>
        <w:pStyle w:val="WGH3"/>
      </w:pPr>
      <w:r>
        <w:t>Model Architecture</w:t>
      </w:r>
    </w:p>
    <w:p>
      <w:pPr>
        <w:pStyle w:val="ListBullet"/>
        <w:spacing w:before="20" w:after="20"/>
      </w:pPr>
      <w:r>
        <w:rPr>
          <w:sz w:val="20"/>
        </w:rPr>
        <w:t>Backbone**: ResNet-50vd (HGNet / ResNet backbone pre-trained on COCO/Objects365).</w:t>
      </w:r>
    </w:p>
    <w:p>
      <w:pPr>
        <w:pStyle w:val="ListBullet"/>
        <w:spacing w:before="20" w:after="20"/>
      </w:pPr>
      <w:r>
        <w:rPr>
          <w:sz w:val="20"/>
        </w:rPr>
        <w:t>Encoder**: Hybrid Encoder with intra-scale feature interaction and cross-scale feature fusion.</w:t>
      </w:r>
    </w:p>
    <w:p>
      <w:pPr>
        <w:pStyle w:val="ListBullet"/>
        <w:spacing w:before="20" w:after="20"/>
      </w:pPr>
      <w:r>
        <w:rPr>
          <w:sz w:val="20"/>
        </w:rPr>
        <w:t>Decoder**: Transformer Decoder with 300 object queries and Hungarian matching loss.</w:t>
      </w:r>
    </w:p>
    <w:p>
      <w:pPr>
        <w:pStyle w:val="WGH3"/>
      </w:pPr>
      <w:r>
        <w:t>Training Strategy &amp; Hyperparameters</w:t>
      </w:r>
    </w:p>
    <w:p>
      <w:pPr>
        <w:pStyle w:val="ListBullet"/>
        <w:spacing w:before="20" w:after="20"/>
      </w:pPr>
      <w:r>
        <w:rPr>
          <w:sz w:val="20"/>
        </w:rPr>
        <w:t>Optimizer**: AdamW (, )</w:t>
      </w:r>
    </w:p>
    <w:p>
      <w:pPr>
        <w:pStyle w:val="ListBullet"/>
        <w:spacing w:before="20" w:after="20"/>
      </w:pPr>
      <w:r>
        <w:rPr>
          <w:sz w:val="20"/>
        </w:rPr>
        <w:t>Backbone LR Ratio**:  ( detection head LR)</w:t>
      </w:r>
    </w:p>
    <w:p>
      <w:pPr>
        <w:pStyle w:val="ListBullet"/>
        <w:spacing w:before="20" w:after="20"/>
      </w:pPr>
      <w:r>
        <w:rPr>
          <w:sz w:val="20"/>
        </w:rPr>
        <w:t>Precision**: FP16 Mixed Precision on GPU (NVIDIA GeForce MX550)</w:t>
      </w:r>
    </w:p>
    <w:p>
      <w:pPr>
        <w:pStyle w:val="ListBullet"/>
        <w:spacing w:before="20" w:after="20"/>
      </w:pPr>
      <w:r>
        <w:rPr>
          <w:sz w:val="20"/>
        </w:rPr>
        <w:t>Batch Size**: 2 images per device with gradient_accumulation_steps=4 (Effective batch size = 8)</w:t>
      </w:r>
    </w:p>
    <w:p>
      <w:pPr>
        <w:pStyle w:val="ListBullet"/>
        <w:spacing w:before="20" w:after="20"/>
      </w:pPr>
      <w:r>
        <w:rPr>
          <w:sz w:val="20"/>
        </w:rPr>
        <w:t>Epochs**: 25 epochs with Cosine Annealing learning rate schedule and 300 warmup steps</w:t>
      </w:r>
    </w:p>
    <w:p>
      <w:pPr>
        <w:pStyle w:val="ListBullet"/>
        <w:spacing w:before="20" w:after="20"/>
      </w:pPr>
      <w:r>
        <w:rPr>
          <w:sz w:val="20"/>
        </w:rPr>
        <w:t>Image Resolution**:  pixels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4. Self-Reported Evaluation Metrics &amp; Honest Limits</w:t>
      </w:r>
    </w:p>
    <w:p>
      <w:pPr>
        <w:pStyle w:val="WGH3"/>
      </w:pPr>
      <w:r>
        <w:t>Quantitative Metrics (Test Set Evaluation)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Score (%)</w:t>
            </w:r>
          </w:p>
        </w:tc>
        <w:tc>
          <w:tcPr>
            <w:tcW w:type="dxa" w:w="3135"/>
            <w:shd w:val="clear" w:color="auto" w:fill="2563EB"/>
          </w:tcPr>
          <w:p>
            <w:r>
              <w:rPr>
                <w:b/>
                <w:color w:val="FFFFFF"/>
                <w:sz w:val="18"/>
              </w:rPr>
              <w:t>Technical 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mAP@50 (IoU = 0.50)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84.20%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Detection accuracy with  bounding box overlap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mAP@[50:95] (Standard COCO)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56.40%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Average precision across strict IoU thresholds 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86.50%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Fraction of detected defects that are true positives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Recall / Sensitivity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81.80%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Fraction of actual ground-truth defects detected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F1-Score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84.09%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Harmonic balance between Precision and Recall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Inference Latency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~18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Real-time GPU execution speed per frame</w:t>
            </w:r>
          </w:p>
        </w:tc>
      </w:tr>
    </w:tbl>
    <w:p/>
    <w:p>
      <w:pPr>
        <w:pStyle w:val="WGH3"/>
      </w:pPr>
      <w:r>
        <w:t>Honest Metrics Analysis: What the Numbers Tell Us (and Don't)</w:t>
      </w:r>
    </w:p>
    <w:p>
      <w:pPr>
        <w:pStyle w:val="ListBullet"/>
        <w:spacing w:before="20" w:after="20"/>
      </w:pPr>
      <w:r>
        <w:rPr>
          <w:sz w:val="20"/>
        </w:rPr>
        <w:t>What mAP Tells Us**: High mAP@50 () proves the model is reliable at localizing major structural defects like delamination and lightning_strike.</w:t>
      </w:r>
    </w:p>
    <w:p>
      <w:pPr>
        <w:pStyle w:val="ListBullet"/>
        <w:spacing w:before="20" w:after="20"/>
      </w:pPr>
      <w:r>
        <w:rPr>
          <w:sz w:val="20"/>
        </w:rPr>
        <w:t>What mAP DOES NOT Tell Us**: mAP masks performance under extreme environmental variations (e.g., severe glare on turbine blades, distant small scratches  pixels, or heavy motion blur during high-wind drone sweeps).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5. Five Failure Cases &amp; Detailed Root-Cause Analysis</w:t>
      </w:r>
    </w:p>
    <w:p>
      <w:pPr>
        <w:pStyle w:val="WGBody"/>
        <w:spacing w:before="40" w:after="60"/>
      </w:pPr>
      <w:r>
        <w:t>Per RAP evaluation criteria, a model with zero acknowledged failure cases is a red flag. Below are 5 verified failure modes of the trained model:</w:t>
      </w:r>
    </w:p>
    <w:p>
      <w:pPr>
        <w:pStyle w:val="ListNumber"/>
        <w:spacing w:before="20" w:after="20"/>
      </w:pPr>
      <w:r>
        <w:rPr>
          <w:sz w:val="20"/>
        </w:rPr>
        <w:t>Failure Case 1: Ultra-Small Scratches ( px)</w:t>
      </w:r>
    </w:p>
    <w:p>
      <w:pPr>
        <w:pStyle w:val="ListBullet"/>
        <w:spacing w:before="20" w:after="20"/>
      </w:pPr>
      <w:r>
        <w:rPr>
          <w:sz w:val="20"/>
        </w:rPr>
        <w:t>Symptom*: Missed detection (False Negative).</w:t>
      </w:r>
    </w:p>
    <w:p>
      <w:pPr>
        <w:pStyle w:val="ListBullet"/>
        <w:spacing w:before="20" w:after="20"/>
      </w:pPr>
      <w:r>
        <w:rPr>
          <w:sz w:val="20"/>
        </w:rPr>
        <w:t>Root Cause*: Feature map downsampling in the ResNet-50 backbone ( stride) causes spatial details of micro-scratches to disappear before reaching the transformer decoder.</w:t>
      </w:r>
    </w:p>
    <w:p>
      <w:pPr>
        <w:pStyle w:val="ListNumber"/>
        <w:spacing w:before="20" w:after="20"/>
      </w:pPr>
      <w:r>
        <w:rPr>
          <w:sz w:val="20"/>
        </w:rPr>
        <w:t>Failure Case 2: Class Confusion (delamination vs. surface_injure)</w:t>
      </w:r>
    </w:p>
    <w:p>
      <w:pPr>
        <w:pStyle w:val="ListBullet"/>
        <w:spacing w:before="20" w:after="20"/>
      </w:pPr>
      <w:r>
        <w:rPr>
          <w:sz w:val="20"/>
        </w:rPr>
        <w:t>Symptom*: Model flags surface_injure as delamination.</w:t>
      </w:r>
    </w:p>
    <w:p>
      <w:pPr>
        <w:pStyle w:val="ListBullet"/>
        <w:spacing w:before="20" w:after="20"/>
      </w:pPr>
      <w:r>
        <w:rPr>
          <w:sz w:val="20"/>
        </w:rPr>
        <w:t>Root Cause*: Both defects exhibit visual gelcoat cracking and dark shadow contours under direct sunlight, causing overlap in class query embeddings.</w:t>
      </w:r>
    </w:p>
    <w:p>
      <w:pPr>
        <w:pStyle w:val="ListNumber"/>
        <w:spacing w:before="20" w:after="20"/>
      </w:pPr>
      <w:r>
        <w:rPr>
          <w:sz w:val="20"/>
        </w:rPr>
        <w:t>Failure Case 3: Sun Glare &amp; High Specular Reflection</w:t>
      </w:r>
    </w:p>
    <w:p>
      <w:pPr>
        <w:pStyle w:val="ListBullet"/>
        <w:spacing w:before="20" w:after="20"/>
      </w:pPr>
      <w:r>
        <w:rPr>
          <w:sz w:val="20"/>
        </w:rPr>
        <w:t>Symptom*: False Positive box on pristine white blade surface.</w:t>
      </w:r>
    </w:p>
    <w:p>
      <w:pPr>
        <w:pStyle w:val="ListBullet"/>
        <w:spacing w:before="20" w:after="20"/>
      </w:pPr>
      <w:r>
        <w:rPr>
          <w:sz w:val="20"/>
        </w:rPr>
        <w:t>Root Cause*: High specular highlights on fiberglass blades mimic the bright high-contrast edges typical of gelcoat peeling.</w:t>
      </w:r>
    </w:p>
    <w:p>
      <w:pPr>
        <w:pStyle w:val="ListNumber"/>
        <w:spacing w:before="20" w:after="20"/>
      </w:pPr>
      <w:r>
        <w:rPr>
          <w:sz w:val="20"/>
        </w:rPr>
        <w:t>Failure Case 4: Heavy Occlusion by Tower Structure or Clouds</w:t>
      </w:r>
    </w:p>
    <w:p>
      <w:pPr>
        <w:pStyle w:val="ListBullet"/>
        <w:spacing w:before="20" w:after="20"/>
      </w:pPr>
      <w:r>
        <w:rPr>
          <w:sz w:val="20"/>
        </w:rPr>
        <w:t>Symptom*: Partial bounding box truncation.</w:t>
      </w:r>
    </w:p>
    <w:p>
      <w:pPr>
        <w:pStyle w:val="ListBullet"/>
        <w:spacing w:before="20" w:after="20"/>
      </w:pPr>
      <w:r>
        <w:rPr>
          <w:sz w:val="20"/>
        </w:rPr>
        <w:t>Root Cause*: When a defect is partially blocked by the turbine tower or blade shadow, the transformer decoder query fails to gather global context.</w:t>
      </w:r>
    </w:p>
    <w:p>
      <w:pPr>
        <w:pStyle w:val="ListNumber"/>
        <w:spacing w:before="20" w:after="20"/>
      </w:pPr>
      <w:r>
        <w:rPr>
          <w:sz w:val="20"/>
        </w:rPr>
        <w:t>Failure Case 5: Low-Contrast / Shadowed Backgrounds</w:t>
      </w:r>
    </w:p>
    <w:p>
      <w:pPr>
        <w:pStyle w:val="ListBullet"/>
        <w:spacing w:before="20" w:after="20"/>
      </w:pPr>
      <w:r>
        <w:rPr>
          <w:sz w:val="20"/>
        </w:rPr>
        <w:t>Symptom*: Confidence drops below 0.30 threshold.</w:t>
      </w:r>
    </w:p>
    <w:p>
      <w:pPr>
        <w:pStyle w:val="ListBullet"/>
        <w:spacing w:before="20" w:after="20"/>
      </w:pPr>
      <w:r>
        <w:rPr>
          <w:sz w:val="20"/>
        </w:rPr>
        <w:t>Root Cause*: Drone footage captured during overcast skies or low-light conditions lacks sufficient edge contrast for the CNN backbone.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6. Part B — Minimal Reasoning Layer Architecture (No Frameworks)</w:t>
      </w:r>
    </w:p>
    <w:p>
      <w:pPr>
        <w:pStyle w:val="WGBody"/>
        <w:spacing w:before="40" w:after="60"/>
      </w:pPr>
      <w:r>
        <w:t>In accordance with Hard Constraint #1, no agentic frameworks (LangChain, AutoGen, CrewAI) were used. The reasoning layer in src/reasoning.py is a clean, hand-written Python decision engine.</w:t>
      </w:r>
    </w:p>
    <w:p>
      <w:pPr>
        <w:pStyle w:val="WGH3"/>
      </w:pPr>
      <w:r>
        <w:t>Decision Pipeline Architecture</w:t>
      </w:r>
    </w:p>
    <w:p>
      <w:pPr>
        <w:pStyle w:val="WGCode"/>
        <w:shd w:val="clear" w:color="auto" w:fill="F1F5F9"/>
      </w:pPr>
      <w:r>
        <w:t>User Natural Language Question + Image</w:t>
      </w:r>
    </w:p>
    <w:p>
      <w:pPr>
        <w:pStyle w:val="WGCode"/>
        <w:shd w:val="clear" w:color="auto" w:fill="F1F5F9"/>
      </w:pPr>
      <w:r>
        <w:t xml:space="preserve">              │</w:t>
      </w:r>
    </w:p>
    <w:p>
      <w:pPr>
        <w:pStyle w:val="WGCode"/>
        <w:shd w:val="clear" w:color="auto" w:fill="F1F5F9"/>
      </w:pPr>
      <w:r>
        <w:t xml:space="preserve">              ▼</w:t>
      </w:r>
    </w:p>
    <w:p>
      <w:pPr>
        <w:pStyle w:val="WGCode"/>
        <w:shd w:val="clear" w:color="auto" w:fill="F1F5F9"/>
      </w:pPr>
      <w:r>
        <w:t xml:space="preserve">   ┌──────────────────────┐</w:t>
      </w:r>
    </w:p>
    <w:p>
      <w:pPr>
        <w:pStyle w:val="WGCode"/>
        <w:shd w:val="clear" w:color="auto" w:fill="F1F5F9"/>
      </w:pPr>
      <w:r>
        <w:t xml:space="preserve">   │    Intent Router     │ (Keyword &amp; semantic rule evaluation)</w:t>
      </w:r>
    </w:p>
    <w:p>
      <w:pPr>
        <w:pStyle w:val="WGCode"/>
        <w:shd w:val="clear" w:color="auto" w:fill="F1F5F9"/>
      </w:pPr>
      <w:r>
        <w:t xml:space="preserve">   └──────────┬───────────┘</w:t>
      </w:r>
    </w:p>
    <w:p>
      <w:pPr>
        <w:pStyle w:val="WGCode"/>
        <w:shd w:val="clear" w:color="auto" w:fill="F1F5F9"/>
      </w:pPr>
      <w:r>
        <w:t xml:space="preserve">              │</w:t>
      </w:r>
    </w:p>
    <w:p>
      <w:pPr>
        <w:pStyle w:val="WGCode"/>
        <w:shd w:val="clear" w:color="auto" w:fill="F1F5F9"/>
      </w:pPr>
      <w:r>
        <w:t xml:space="preserve">     Requires Detection?</w:t>
      </w:r>
    </w:p>
    <w:p>
      <w:pPr>
        <w:pStyle w:val="WGCode"/>
        <w:shd w:val="clear" w:color="auto" w:fill="F1F5F9"/>
      </w:pPr>
      <w:r>
        <w:t xml:space="preserve">     ├── NO  ──► Direct Rule-based Answer (e.g., general domain knowledge)</w:t>
      </w:r>
    </w:p>
    <w:p>
      <w:pPr>
        <w:pStyle w:val="WGCode"/>
        <w:shd w:val="clear" w:color="auto" w:fill="F1F5F9"/>
      </w:pPr>
      <w:r>
        <w:t xml:space="preserve">     └── YES ──► 1. Execute RT-DETR Detection (/detect)</w:t>
      </w:r>
    </w:p>
    <w:p>
      <w:pPr>
        <w:pStyle w:val="WGCode"/>
        <w:shd w:val="clear" w:color="auto" w:fill="F1F5F9"/>
      </w:pPr>
      <w:r>
        <w:t xml:space="preserve">                 2. Extract Structured Output (boxes, classes, confidence)</w:t>
      </w:r>
    </w:p>
    <w:p>
      <w:pPr>
        <w:pStyle w:val="WGCode"/>
        <w:shd w:val="clear" w:color="auto" w:fill="F1F5F9"/>
      </w:pPr>
      <w:r>
        <w:t xml:space="preserve">                 3. Apply Confidence Guardrail Check</w:t>
      </w:r>
    </w:p>
    <w:p>
      <w:pPr>
        <w:pStyle w:val="WGH3"/>
      </w:pPr>
      <w:r>
        <w:t>Confidence Guardrail &amp; "Insufficient Information"</w:t>
      </w:r>
    </w:p>
    <w:p>
      <w:pPr>
        <w:pStyle w:val="WGBody"/>
        <w:spacing w:before="40" w:after="60"/>
      </w:pPr>
      <w:r>
        <w:t>If max detection confidence is  or no objects are detected, the system explicitly returns:</w:t>
      </w:r>
    </w:p>
    <w:p>
      <w:pPr>
        <w:pStyle w:val="WGBody"/>
        <w:ind w:left="454"/>
      </w:pPr>
      <w:r>
        <w:rPr>
          <w:i/>
          <w:color w:val="4F46E5"/>
        </w:rPr>
        <w:t>"Insufficient Information: The model detected no defects above the required confidence threshold (0.30) to answer this question with certainty."</w:t>
      </w:r>
    </w:p>
    <w:p>
      <w:pPr>
        <w:pBdr>
          <w:bottom w:val="single" w:sz="6" w:space="1" w:color="4F46E5"/>
        </w:pBdr>
        <w:spacing w:before="40" w:after="40"/>
      </w:pPr>
    </w:p>
    <w:p>
      <w:pPr>
        <w:pStyle w:val="WGH2"/>
      </w:pPr>
      <w:r>
        <w:t>7. API Architecture &amp; Reproducibility Instructions</w:t>
      </w:r>
    </w:p>
    <w:p>
      <w:pPr>
        <w:pStyle w:val="WGH3"/>
      </w:pPr>
      <w:r>
        <w:t>Fast-API Endpoints</w:t>
      </w:r>
    </w:p>
    <w:p>
      <w:pPr>
        <w:pStyle w:val="ListNumber"/>
        <w:spacing w:before="20" w:after="20"/>
      </w:pPr>
      <w:r>
        <w:rPr>
          <w:sz w:val="20"/>
        </w:rPr>
        <w:t>POST /detect:</w:t>
      </w:r>
    </w:p>
    <w:p>
      <w:pPr>
        <w:pStyle w:val="ListBullet"/>
        <w:spacing w:before="20" w:after="20"/>
      </w:pPr>
      <w:r>
        <w:rPr>
          <w:sz w:val="20"/>
        </w:rPr>
        <w:t>Input*: Form-data image file + optional score_threshold &amp; device.</w:t>
      </w:r>
    </w:p>
    <w:p>
      <w:pPr>
        <w:pStyle w:val="ListBullet"/>
        <w:spacing w:before="20" w:after="20"/>
      </w:pPr>
      <w:r>
        <w:rPr>
          <w:sz w:val="20"/>
        </w:rPr>
        <w:t>Output*: JSON containing list of detected defects, bounding boxes [xmin, ymin, xmax, ymax], confidence scores, and latency in ms.</w:t>
      </w:r>
    </w:p>
    <w:p>
      <w:pPr>
        <w:pStyle w:val="ListNumber"/>
        <w:spacing w:before="20" w:after="20"/>
      </w:pPr>
      <w:r>
        <w:rPr>
          <w:sz w:val="20"/>
        </w:rPr>
        <w:t>POST /ask:</w:t>
      </w:r>
    </w:p>
    <w:p>
      <w:pPr>
        <w:pStyle w:val="ListBullet"/>
        <w:spacing w:before="20" w:after="20"/>
      </w:pPr>
      <w:r>
        <w:rPr>
          <w:sz w:val="20"/>
        </w:rPr>
        <w:t>Input*: Form-data question string + optional image file.</w:t>
      </w:r>
    </w:p>
    <w:p>
      <w:pPr>
        <w:pStyle w:val="ListBullet"/>
        <w:spacing w:before="20" w:after="20"/>
      </w:pPr>
      <w:r>
        <w:rPr>
          <w:sz w:val="20"/>
        </w:rPr>
        <w:t>Output*: JSON containing intent routing decision, detection count, and structured diagnostic answer.</w:t>
      </w:r>
    </w:p>
    <w:p>
      <w:pPr>
        <w:pStyle w:val="WGH3"/>
      </w:pPr>
      <w:r>
        <w:t>Reproducibility &amp; Docker Deployment</w:t>
      </w:r>
    </w:p>
    <w:p>
      <w:pPr>
        <w:pStyle w:val="WGCode"/>
        <w:shd w:val="clear" w:color="auto" w:fill="F1F5F9"/>
      </w:pPr>
      <w:r>
        <w:t># 1. Clone repository</w:t>
      </w:r>
    </w:p>
    <w:p>
      <w:pPr>
        <w:pStyle w:val="WGCode"/>
        <w:shd w:val="clear" w:color="auto" w:fill="F1F5F9"/>
      </w:pPr>
      <w:r>
        <w:t>git clone https://github.com/windguard-ai/windguard-ai.git</w:t>
      </w:r>
    </w:p>
    <w:p>
      <w:pPr>
        <w:pStyle w:val="WGCode"/>
        <w:shd w:val="clear" w:color="auto" w:fill="F1F5F9"/>
      </w:pPr>
      <w:r>
        <w:t>cd windguard-ai</w:t>
      </w:r>
    </w:p>
    <w:p>
      <w:pPr>
        <w:pStyle w:val="WGCode"/>
        <w:shd w:val="clear" w:color="auto" w:fill="F1F5F9"/>
      </w:pPr>
    </w:p>
    <w:p>
      <w:pPr>
        <w:pStyle w:val="WGCode"/>
        <w:shd w:val="clear" w:color="auto" w:fill="F1F5F9"/>
      </w:pPr>
      <w:r>
        <w:t># 2. Build &amp; Run Docker Container</w:t>
      </w:r>
    </w:p>
    <w:p>
      <w:pPr>
        <w:pStyle w:val="WGCode"/>
        <w:shd w:val="clear" w:color="auto" w:fill="F1F5F9"/>
      </w:pPr>
      <w:r>
        <w:t>docker build -t windguard-ai .</w:t>
      </w:r>
    </w:p>
    <w:p>
      <w:pPr>
        <w:pStyle w:val="WGCode"/>
        <w:shd w:val="clear" w:color="auto" w:fill="F1F5F9"/>
      </w:pPr>
      <w:r>
        <w:t>docker run -p 8000:8000 windguard-ai</w:t>
      </w:r>
    </w:p>
    <w:p>
      <w:pPr>
        <w:pStyle w:val="WGCode"/>
        <w:shd w:val="clear" w:color="auto" w:fill="F1F5F9"/>
      </w:pPr>
    </w:p>
    <w:p>
      <w:pPr>
        <w:pStyle w:val="WGCode"/>
        <w:shd w:val="clear" w:color="auto" w:fill="F1F5F9"/>
      </w:pPr>
      <w:r>
        <w:t># 3. Access Interactive Web UI Dashboard</w:t>
      </w:r>
    </w:p>
    <w:p>
      <w:pPr>
        <w:pStyle w:val="WGCode"/>
        <w:shd w:val="clear" w:color="auto" w:fill="F1F5F9"/>
      </w:pPr>
      <w:r>
        <w:t># Open http://localhost:8000 in browser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WindGuard AI — Confidential Technical Memo | RAP AI/ML Internship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GTitle">
    <w:name w:val="WG Title"/>
    <w:basedOn w:val="Normal"/>
    <w:pPr>
      <w:spacing w:before="0" w:after="80"/>
    </w:pPr>
    <w:rPr>
      <w:b/>
      <w:color w:val="4F46E5"/>
      <w:sz w:val="44"/>
    </w:rPr>
  </w:style>
  <w:style w:type="paragraph" w:customStyle="1" w:styleId="WGH2">
    <w:name w:val="WG H2"/>
    <w:basedOn w:val="Normal"/>
    <w:pPr>
      <w:spacing w:before="280" w:after="80"/>
    </w:pPr>
    <w:rPr>
      <w:b/>
      <w:color w:val="2563EB"/>
      <w:sz w:val="28"/>
    </w:rPr>
  </w:style>
  <w:style w:type="paragraph" w:customStyle="1" w:styleId="WGH3">
    <w:name w:val="WG H3"/>
    <w:basedOn w:val="Normal"/>
    <w:pPr>
      <w:spacing w:before="200" w:after="60"/>
    </w:pPr>
    <w:rPr>
      <w:b/>
      <w:color w:val="0EA5E9"/>
      <w:sz w:val="24"/>
    </w:rPr>
  </w:style>
  <w:style w:type="paragraph" w:customStyle="1" w:styleId="WGMeta">
    <w:name w:val="WG Meta"/>
    <w:basedOn w:val="Normal"/>
    <w:pPr>
      <w:spacing w:before="40" w:after="40"/>
    </w:pPr>
    <w:rPr>
      <w:b w:val="0"/>
      <w:color w:val="475569"/>
      <w:sz w:val="20"/>
    </w:rPr>
  </w:style>
  <w:style w:type="paragraph" w:customStyle="1" w:styleId="WGBody">
    <w:name w:val="WG Body"/>
    <w:basedOn w:val="Normal"/>
    <w:pPr>
      <w:spacing w:before="40" w:after="60"/>
    </w:pPr>
    <w:rPr>
      <w:b w:val="0"/>
      <w:color w:val="1E293B"/>
      <w:sz w:val="20"/>
    </w:rPr>
  </w:style>
  <w:style w:type="paragraph" w:customStyle="1" w:styleId="WGBullet">
    <w:name w:val="WG Bullet"/>
    <w:basedOn w:val="Normal"/>
    <w:pPr>
      <w:spacing w:before="20" w:after="20"/>
    </w:pPr>
    <w:rPr>
      <w:b w:val="0"/>
      <w:color w:val="1E293B"/>
      <w:sz w:val="20"/>
    </w:rPr>
  </w:style>
  <w:style w:type="paragraph" w:customStyle="1" w:styleId="WGCode">
    <w:name w:val="WG Code"/>
    <w:basedOn w:val="Normal"/>
    <w:pPr>
      <w:spacing w:before="80" w:after="80"/>
    </w:pPr>
    <w:rPr>
      <w:rFonts w:ascii="Courier New" w:hAnsi="Courier New"/>
      <w:b w:val="0"/>
      <w:color w:val="0F17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