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0E7490"/>
          <w:sz w:val="44"/>
          <w:szCs w:val="44"/>
        </w:rPr>
        <w:t xml:space="preserve">MedSync </w:t>
      </w:r>
      <w:r>
        <w:rPr>
          <w:b/>
          <w:bCs/>
          <w:color w:val="0D9488"/>
          <w:sz w:val="44"/>
          <w:szCs w:val="44"/>
        </w:rPr>
        <w:t xml:space="preserve">360</w:t>
      </w:r>
    </w:p>
    <w:p>
      <w:pPr>
        <w:spacing w:after="40"/>
      </w:pPr>
      <w:r>
        <w:rPr>
          <w:b/>
          <w:bCs/>
          <w:color w:val="334155"/>
          <w:sz w:val="24"/>
          <w:szCs w:val="24"/>
        </w:rPr>
        <w:t xml:space="preserve">Investor Brief</w:t>
      </w:r>
    </w:p>
    <w:p>
      <w:pPr>
        <w:pBdr>
          <w:bottom w:val="single" w:color="0E7490" w:sz="8" w:space="2"/>
        </w:pBdr>
        <w:spacing w:after="160"/>
      </w:pPr>
      <w:r>
        <w:rPr>
          <w:color w:val="64748B"/>
          <w:sz w:val="16"/>
          <w:szCs w:val="16"/>
        </w:rPr>
        <w:t xml:space="preserve">Healthcare Referral Management</w:t>
      </w:r>
    </w:p>
    <w:p>
      <w:pPr>
        <w:spacing w:after="80"/>
      </w:pPr>
      <w:r>
        <w:rPr>
          <w:b/>
          <w:bCs/>
          <w:color w:val="64748B"/>
          <w:sz w:val="18"/>
          <w:szCs w:val="18"/>
        </w:rPr>
        <w:t xml:space="preserve">Note: </w:t>
      </w:r>
      <w:r>
        <w:rPr>
          <w:i/>
          <w:iCs/>
          <w:color w:val="64748B"/>
          <w:sz w:val="18"/>
          <w:szCs w:val="18"/>
        </w:rPr>
        <w:t xml:space="preserve">Market sizing and traction figures below are placeholders marked [TBD] — to be replaced with validated numbers. They are illustrative, not claims.</w:t>
      </w:r>
    </w:p>
    <w:p>
      <w:pPr>
        <w:pStyle w:val="Heading1"/>
      </w:pPr>
      <w:r>
        <w:t xml:space="preserve">The opportunity</w:t>
      </w:r>
    </w:p>
    <w:p>
      <w:pPr>
        <w:spacing w:after="80"/>
      </w:pPr>
      <w:r>
        <w:t xml:space="preserve">Hospital referral coordination between departments is largely undigitized — verbal, paper, and WhatsApp — with no audit trail of accountability or medication changes as a patient passes through multiple doctors. This is a daily operational pain and a growing compliance gap.</w:t>
      </w:r>
    </w:p>
    <w:p>
      <w:pPr>
        <w:pStyle w:val="Heading1"/>
      </w:pPr>
      <w:r>
        <w:t xml:space="preserve">Product &amp; moat</w:t>
      </w:r>
    </w:p>
    <w:p>
      <w:pPr>
        <w:spacing w:after="80"/>
      </w:pPr>
      <w:r>
        <w:t xml:space="preserve">MedSync 360 is a referral-coordination layer whose core is a correct, chain-wide medication and accountability audit trail — the technically hard, defensible piece that generic HMS/EMR systems handle poorly. The completion report (full doctor path + per-stage timeline + medications + diagnosis, exportable to Excel/PDF) is the tangible artifact buyers value.</w:t>
      </w:r>
    </w:p>
    <w:p>
      <w:pPr>
        <w:pStyle w:val="Heading1"/>
      </w:pPr>
      <w:r>
        <w:t xml:space="preserve">Why now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4155"/>
        </w:rPr>
        <w:t xml:space="preserve">Regulatory tailwind: </w:t>
      </w:r>
      <w:r>
        <w:t xml:space="preserve">ABDM is driving digital, interoperable clinical records across Indian hospitals.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4155"/>
        </w:rPr>
        <w:t xml:space="preserve">Compliance pressure: </w:t>
      </w:r>
      <w:r>
        <w:t xml:space="preserve">India’s DPDP Act makes auditable health-data handling an expectation.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4155"/>
        </w:rPr>
        <w:t xml:space="preserve">Behavioral shift: </w:t>
      </w:r>
      <w:r>
        <w:t xml:space="preserve">post-pandemic, hospitals are more willing to adopt focused digital workflow tools.</w:t>
      </w:r>
    </w:p>
    <w:p>
      <w:pPr>
        <w:pStyle w:val="Heading1"/>
      </w:pPr>
      <w:r>
        <w:t xml:space="preserve">Market (illustrative — validate)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80"/>
        <w:gridCol w:w="2600"/>
      </w:tblGrid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0E74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2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0E74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0E74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TAM</w:t>
            </w:r>
          </w:p>
        </w:tc>
        <w:tc>
          <w:tcPr>
            <w:tcW w:type="dxa" w:w="52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Hospital workflow/clinical-coordination software, India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[TBD]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SAM</w:t>
            </w:r>
          </w:p>
        </w:tc>
        <w:tc>
          <w:tcPr>
            <w:tcW w:type="dxa" w:w="52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Multi-specialty hospitals &amp; networks (50+ beds) needing referral audit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[TBD]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SOM (3 yr)</w:t>
            </w:r>
          </w:p>
        </w:tc>
        <w:tc>
          <w:tcPr>
            <w:tcW w:type="dxa" w:w="52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Target hospitals reachable via direct + network deals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[TBD]</w:t>
            </w:r>
          </w:p>
        </w:tc>
      </w:tr>
    </w:tbl>
    <w:p>
      <w:pPr>
        <w:spacing w:after="80"/>
      </w:pPr>
      <w:r>
        <w:rPr>
          <w:i/>
          <w:iCs/>
          <w:color w:val="64748B"/>
          <w:sz w:val="18"/>
          <w:szCs w:val="18"/>
        </w:rPr>
        <w:t xml:space="preserve">Replace [TBD] with bottom-up math: # target hospitals × annual contract value.</w:t>
      </w:r>
    </w:p>
    <w:p>
      <w:pPr>
        <w:pStyle w:val="Heading1"/>
      </w:pPr>
      <w:r>
        <w:t xml:space="preserve">Business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4155"/>
        </w:rPr>
        <w:t xml:space="preserve">SaaS subscription — </w:t>
      </w:r>
      <w:r>
        <w:t xml:space="preserve">annual per-hospital (tiered by beds / departments / users).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4155"/>
        </w:rPr>
        <w:t xml:space="preserve">Implementation &amp; integration — </w:t>
      </w:r>
      <w:r>
        <w:t xml:space="preserve">one-time onboarding + HIS/ABDM integration fee.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4155"/>
        </w:rPr>
        <w:t xml:space="preserve">Expansion — </w:t>
      </w:r>
      <w:r>
        <w:t xml:space="preserve">land with referral-audit, expand to roster, messaging, analytics, and additional sites in a network.</w:t>
      </w:r>
    </w:p>
    <w:p>
      <w:pPr>
        <w:spacing w:after="80"/>
      </w:pPr>
      <w:r>
        <w:rPr>
          <w:b/>
          <w:bCs/>
        </w:rPr>
        <w:t xml:space="preserve">Indicative ACV: </w:t>
      </w:r>
      <w:r>
        <w:t xml:space="preserve">[TBD] per hospital / year. Gross margin target: software-typical [TBD]%.</w:t>
      </w:r>
    </w:p>
    <w:p>
      <w:pPr>
        <w:pStyle w:val="Heading1"/>
      </w:pPr>
      <w:r>
        <w:t xml:space="preserve">Competition &amp; positioning</w:t>
      </w:r>
    </w:p>
    <w:p>
      <w:pPr>
        <w:spacing w:after="80"/>
      </w:pPr>
      <w:r>
        <w:t xml:space="preserve">The HMS/EMR market is crowded (Practo, KareXpert, Medixcel, Halemind, Insta, Plus91, etc.), but they compete as broad platforms. MedSync wins as a focused wedge — referral coordination + clinical audit — that complements rather than replaces the incumbent HIS. Defensibility comes from getting the multi-hop medication/accountability trail right and from network effects within hospital groups.</w:t>
      </w:r>
    </w:p>
    <w:p>
      <w:pPr>
        <w:pStyle w:val="Heading1"/>
      </w:pPr>
      <w:r>
        <w:t xml:space="preserve">Traction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product across the full multi-hop referral + medication-journey workflow with Excel/PDF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4155"/>
        </w:rPr>
        <w:t xml:space="preserve">Pilots: </w:t>
      </w:r>
      <w:r>
        <w:t xml:space="preserve">[TBD] — e.g. live deployment at [hospital], N doctors, N referrals processed.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4155"/>
        </w:rPr>
        <w:t xml:space="preserve">Pipeline / LOIs: </w:t>
      </w:r>
      <w:r>
        <w:t xml:space="preserve">[TBD].</w:t>
      </w:r>
    </w:p>
    <w:p>
      <w:pPr>
        <w:pStyle w:val="Heading1"/>
      </w:pPr>
      <w:r>
        <w:t xml:space="preserve">Roadmap to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Multi-hospital tenancy + per-hospital admin/coordinator roles.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DPDP-grade PHI security (server-side keys, hardened RLS, audit logging).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HIS / ABDM (FHIR) interoperability.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testing + CI for clinical-grade reliability.</w:t>
      </w:r>
    </w:p>
    <w:p>
      <w:pPr>
        <w:pStyle w:val="Heading1"/>
      </w:pPr>
      <w:r>
        <w:t xml:space="preserve">The ask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4155"/>
        </w:rPr>
        <w:t xml:space="preserve">Raising: </w:t>
      </w:r>
      <w:r>
        <w:t xml:space="preserve">[TBD] to fund [N] pilots, security/compliance hardening, and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4155"/>
        </w:rPr>
        <w:t xml:space="preserve">Seeking: </w:t>
      </w:r>
      <w:r>
        <w:t xml:space="preserve">1–2 design-partner hospitals and introductions to hospital-group decision-makers.</w:t>
      </w:r>
    </w:p>
    <w:p>
      <w:pPr>
        <w:pStyle w:val="Heading1"/>
      </w:pPr>
      <w:r>
        <w:t xml:space="preserve">Team</w:t>
      </w:r>
    </w:p>
    <w:p>
      <w:pPr>
        <w:spacing w:after="80"/>
      </w:pPr>
      <w:r>
        <w:t xml:space="preserve">[TBD — founders, clinical advisors, and relevant healthcare/engineering experience.]</w:t>
      </w:r>
    </w:p>
    <w:p>
      <w:pPr>
        <w:pBdr>
          <w:top w:val="single" w:color="E2E8F0" w:sz="4" w:space="4"/>
        </w:pBdr>
        <w:spacing w:before="200"/>
        <w:jc w:val="center"/>
      </w:pPr>
      <w:r>
        <w:rPr>
          <w:color w:val="64748B"/>
          <w:sz w:val="16"/>
          <w:szCs w:val="16"/>
        </w:rPr>
        <w:t xml:space="preserve">Confidential · MedSync 360 ·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Calibri" w:cs="Calibri" w:eastAsia="Calibri" w:hAnsi="Calibri"/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E2E8F0" w:sz="4" w:space="2"/>
      </w:pBdr>
      <w:spacing w:after="60" w:before="160"/>
      <w:outlineLvl w:val="1"/>
    </w:pPr>
    <w:rPr>
      <w:rFonts w:ascii="Calibri" w:cs="Calibri" w:eastAsia="Calibri" w:hAnsi="Calibri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2026-06-23T12:46:16.220Z</dcterms:created>
  <dcterms:modified xsi:type="dcterms:W3CDTF">2026-06-23T12:46:16.220Z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