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4561F" w14:textId="4392D508" w:rsidR="00C05D82" w:rsidRPr="00E21C93" w:rsidRDefault="00C05D82" w:rsidP="00C05D82">
      <w:pPr>
        <w:rPr>
          <w:b/>
          <w:bCs/>
          <w:u w:val="single"/>
        </w:rPr>
      </w:pPr>
      <w:bookmarkStart w:id="0" w:name="OLE_LINK1"/>
      <w:r w:rsidRPr="00E21C93">
        <w:rPr>
          <w:b/>
          <w:bCs/>
          <w:u w:val="single"/>
        </w:rPr>
        <w:t xml:space="preserve">Gender Imbalance in Occupation and Service </w:t>
      </w:r>
      <w:proofErr w:type="gramStart"/>
      <w:r w:rsidRPr="00E21C93">
        <w:rPr>
          <w:b/>
          <w:bCs/>
          <w:u w:val="single"/>
        </w:rPr>
        <w:t>Years</w:t>
      </w:r>
      <w:r w:rsidR="00E77E49">
        <w:rPr>
          <w:b/>
          <w:bCs/>
          <w:u w:val="single"/>
        </w:rPr>
        <w:t>(</w:t>
      </w:r>
      <w:proofErr w:type="gramEnd"/>
      <w:r w:rsidR="00E77E49">
        <w:rPr>
          <w:b/>
          <w:bCs/>
          <w:u w:val="single"/>
        </w:rPr>
        <w:t>1)</w:t>
      </w:r>
    </w:p>
    <w:p w14:paraId="7FFA3DC0" w14:textId="77777777" w:rsidR="00C05D82" w:rsidRPr="00C05D82" w:rsidRDefault="00C05D82" w:rsidP="00C05D82">
      <w:pPr>
        <w:rPr>
          <w:b/>
          <w:bCs/>
        </w:rPr>
      </w:pPr>
    </w:p>
    <w:p w14:paraId="6E68995C" w14:textId="77777777" w:rsidR="00C05D82" w:rsidRPr="00C05D82" w:rsidRDefault="00C05D82" w:rsidP="00C05D82">
      <w:r w:rsidRPr="00C05D82">
        <w:rPr>
          <w:b/>
          <w:bCs/>
        </w:rPr>
        <w:t>Objective:</w:t>
      </w:r>
      <w:r w:rsidRPr="00C05D82">
        <w:br/>
        <w:t>The objective of this analysis is to determine whether there is a gender imbalance in the existing workforce, particularly in terms of average service years across various occupations. This analysis will also explore the patterns that have developed concerning service years within the organizational hierarchy and gender.</w:t>
      </w:r>
    </w:p>
    <w:p w14:paraId="3DD03DCE" w14:textId="77777777" w:rsidR="00C05D82" w:rsidRPr="00C05D82" w:rsidRDefault="00C05D82" w:rsidP="00C05D82">
      <w:r w:rsidRPr="00C05D82">
        <w:rPr>
          <w:b/>
          <w:bCs/>
        </w:rPr>
        <w:t>Key Observations:</w:t>
      </w:r>
    </w:p>
    <w:p w14:paraId="78DFEA83" w14:textId="77777777" w:rsidR="00C05D82" w:rsidRPr="00C05D82" w:rsidRDefault="00C05D82" w:rsidP="00C05D82">
      <w:pPr>
        <w:numPr>
          <w:ilvl w:val="0"/>
          <w:numId w:val="1"/>
        </w:numPr>
      </w:pPr>
      <w:r w:rsidRPr="00C05D82">
        <w:rPr>
          <w:b/>
          <w:bCs/>
        </w:rPr>
        <w:t>General Trends:</w:t>
      </w:r>
    </w:p>
    <w:p w14:paraId="4134AC42" w14:textId="77777777" w:rsidR="00C05D82" w:rsidRPr="00C05D82" w:rsidRDefault="00C05D82" w:rsidP="00C05D82">
      <w:pPr>
        <w:numPr>
          <w:ilvl w:val="1"/>
          <w:numId w:val="1"/>
        </w:numPr>
      </w:pPr>
      <w:r w:rsidRPr="00C05D82">
        <w:t>Across the organization, males have slightly longer average service years (19.27 years) compared to females (17.62 years). This overall trend suggests that males may either have better retention rates, face fewer barriers to long-term career progression, or possibly that the organization has traditionally had a male-dominated workforce.</w:t>
      </w:r>
    </w:p>
    <w:p w14:paraId="1CC145CE" w14:textId="77777777" w:rsidR="00C05D82" w:rsidRPr="00C05D82" w:rsidRDefault="00C05D82" w:rsidP="00C05D82">
      <w:pPr>
        <w:numPr>
          <w:ilvl w:val="0"/>
          <w:numId w:val="1"/>
        </w:numPr>
      </w:pPr>
      <w:r w:rsidRPr="00C05D82">
        <w:rPr>
          <w:b/>
          <w:bCs/>
        </w:rPr>
        <w:t>Occupations with Notable Gender Disparities:</w:t>
      </w:r>
    </w:p>
    <w:p w14:paraId="3D9FC3E8" w14:textId="77777777" w:rsidR="00C05D82" w:rsidRPr="00C05D82" w:rsidRDefault="00C05D82" w:rsidP="00C05D82">
      <w:pPr>
        <w:numPr>
          <w:ilvl w:val="1"/>
          <w:numId w:val="1"/>
        </w:numPr>
      </w:pPr>
      <w:r w:rsidRPr="00C05D82">
        <w:rPr>
          <w:b/>
          <w:bCs/>
        </w:rPr>
        <w:t>Engineering and Technical Roles:</w:t>
      </w:r>
    </w:p>
    <w:p w14:paraId="352B6D7B" w14:textId="77777777" w:rsidR="00C05D82" w:rsidRPr="00C05D82" w:rsidRDefault="00C05D82" w:rsidP="00C05D82">
      <w:pPr>
        <w:numPr>
          <w:ilvl w:val="2"/>
          <w:numId w:val="1"/>
        </w:numPr>
      </w:pPr>
      <w:r w:rsidRPr="00C05D82">
        <w:t xml:space="preserve">The most significant gender disparity in service years is observed in engineering-related occupations. For example, in the </w:t>
      </w:r>
      <w:r w:rsidRPr="00C05D82">
        <w:rPr>
          <w:b/>
          <w:bCs/>
        </w:rPr>
        <w:t>Engineer</w:t>
      </w:r>
      <w:r w:rsidRPr="00C05D82">
        <w:t xml:space="preserve"> role, males have an average service year of 20.08, compared to only 11.14 years for females. A similar pattern is observed in </w:t>
      </w:r>
      <w:r w:rsidRPr="00C05D82">
        <w:rPr>
          <w:b/>
          <w:bCs/>
        </w:rPr>
        <w:t>Drafter</w:t>
      </w:r>
      <w:r w:rsidRPr="00C05D82">
        <w:t xml:space="preserve"> and </w:t>
      </w:r>
      <w:r w:rsidRPr="00C05D82">
        <w:rPr>
          <w:b/>
          <w:bCs/>
        </w:rPr>
        <w:t>Technician - Engineering</w:t>
      </w:r>
      <w:r w:rsidRPr="00C05D82">
        <w:t xml:space="preserve"> roles, where males consistently have longer service years.</w:t>
      </w:r>
    </w:p>
    <w:p w14:paraId="5E13C520" w14:textId="77777777" w:rsidR="00C05D82" w:rsidRPr="00C05D82" w:rsidRDefault="00C05D82" w:rsidP="00C05D82">
      <w:pPr>
        <w:numPr>
          <w:ilvl w:val="2"/>
          <w:numId w:val="1"/>
        </w:numPr>
      </w:pPr>
      <w:r w:rsidRPr="00C05D82">
        <w:t>These trends suggest that women in technical fields may either be newer to the organization, face greater turnover, or encounter challenges in staying long-term compared to their male counterparts.</w:t>
      </w:r>
    </w:p>
    <w:p w14:paraId="377E345E" w14:textId="77777777" w:rsidR="00C05D82" w:rsidRPr="00C05D82" w:rsidRDefault="00C05D82" w:rsidP="00C05D82">
      <w:pPr>
        <w:numPr>
          <w:ilvl w:val="1"/>
          <w:numId w:val="1"/>
        </w:numPr>
      </w:pPr>
      <w:r w:rsidRPr="00C05D82">
        <w:rPr>
          <w:b/>
          <w:bCs/>
        </w:rPr>
        <w:t>Managerial Roles:</w:t>
      </w:r>
    </w:p>
    <w:p w14:paraId="7FABC885" w14:textId="77777777" w:rsidR="00C05D82" w:rsidRPr="00C05D82" w:rsidRDefault="00C05D82" w:rsidP="00C05D82">
      <w:pPr>
        <w:numPr>
          <w:ilvl w:val="2"/>
          <w:numId w:val="1"/>
        </w:numPr>
      </w:pPr>
      <w:r w:rsidRPr="00C05D82">
        <w:t xml:space="preserve">In </w:t>
      </w:r>
      <w:r w:rsidRPr="00C05D82">
        <w:rPr>
          <w:b/>
          <w:bCs/>
        </w:rPr>
        <w:t>Manager</w:t>
      </w:r>
      <w:r w:rsidRPr="00C05D82">
        <w:t xml:space="preserve"> positions, males have an average service year of 22.30 compared to 18.50 years for females. This could indicate that men are more likely to stay longer in management positions or that there are fewer opportunities for women to progress into or remain in these roles over time.</w:t>
      </w:r>
    </w:p>
    <w:p w14:paraId="7C38965E" w14:textId="77777777" w:rsidR="00C05D82" w:rsidRPr="00C05D82" w:rsidRDefault="00C05D82" w:rsidP="00C05D82">
      <w:pPr>
        <w:numPr>
          <w:ilvl w:val="1"/>
          <w:numId w:val="1"/>
        </w:numPr>
      </w:pPr>
      <w:r w:rsidRPr="00C05D82">
        <w:rPr>
          <w:b/>
          <w:bCs/>
        </w:rPr>
        <w:t>Clerical and Support Roles:</w:t>
      </w:r>
    </w:p>
    <w:p w14:paraId="21ED7E53" w14:textId="77777777" w:rsidR="00C05D82" w:rsidRPr="00C05D82" w:rsidRDefault="00C05D82" w:rsidP="00C05D82">
      <w:pPr>
        <w:numPr>
          <w:ilvl w:val="2"/>
          <w:numId w:val="1"/>
        </w:numPr>
      </w:pPr>
      <w:r w:rsidRPr="00C05D82">
        <w:rPr>
          <w:b/>
          <w:bCs/>
        </w:rPr>
        <w:t>Clerks/Assistants</w:t>
      </w:r>
      <w:r w:rsidRPr="00C05D82">
        <w:t xml:space="preserve"> show a high female presence with an average service year of 20.49 years, which is slightly lower than that of males at 22.15 years. The high number of females in these roles suggests a gender imbalance favoring women in support functions.</w:t>
      </w:r>
    </w:p>
    <w:p w14:paraId="2F13F877" w14:textId="77777777" w:rsidR="00C05D82" w:rsidRPr="00C05D82" w:rsidRDefault="00C05D82" w:rsidP="00C05D82">
      <w:pPr>
        <w:numPr>
          <w:ilvl w:val="2"/>
          <w:numId w:val="1"/>
        </w:numPr>
      </w:pPr>
      <w:r w:rsidRPr="00C05D82">
        <w:t xml:space="preserve">Notably, the </w:t>
      </w:r>
      <w:r w:rsidRPr="00C05D82">
        <w:rPr>
          <w:b/>
          <w:bCs/>
        </w:rPr>
        <w:t>Executive Assistant</w:t>
      </w:r>
      <w:r w:rsidRPr="00C05D82">
        <w:t xml:space="preserve"> role is occupied solely by a female with an exceptionally long service tenure (38 years).</w:t>
      </w:r>
    </w:p>
    <w:p w14:paraId="2C2FBD8E" w14:textId="77777777" w:rsidR="00C05D82" w:rsidRPr="00C05D82" w:rsidRDefault="00C05D82" w:rsidP="00C05D82">
      <w:pPr>
        <w:numPr>
          <w:ilvl w:val="0"/>
          <w:numId w:val="1"/>
        </w:numPr>
      </w:pPr>
      <w:r w:rsidRPr="00C05D82">
        <w:rPr>
          <w:b/>
          <w:bCs/>
        </w:rPr>
        <w:t>Leadership and Executive Positions:</w:t>
      </w:r>
    </w:p>
    <w:p w14:paraId="3E87BFA3" w14:textId="77777777" w:rsidR="00C05D82" w:rsidRPr="00C05D82" w:rsidRDefault="00C05D82" w:rsidP="00C05D82">
      <w:pPr>
        <w:numPr>
          <w:ilvl w:val="1"/>
          <w:numId w:val="1"/>
        </w:numPr>
      </w:pPr>
      <w:r w:rsidRPr="00C05D82">
        <w:t xml:space="preserve">The C-level and VP positions are predominantly held by males, with very few females in these roles. For instance, the CEO, CFO, CIO, COO, and various VPs are all male, with service years ranging from 20 to 48 years. The only exceptions are the </w:t>
      </w:r>
      <w:r w:rsidRPr="00C05D82">
        <w:rPr>
          <w:b/>
          <w:bCs/>
        </w:rPr>
        <w:t>CHRO</w:t>
      </w:r>
      <w:r w:rsidRPr="00C05D82">
        <w:t xml:space="preserve"> and </w:t>
      </w:r>
      <w:r w:rsidRPr="00C05D82">
        <w:rPr>
          <w:b/>
          <w:bCs/>
        </w:rPr>
        <w:t>Executive Assistant</w:t>
      </w:r>
      <w:r w:rsidRPr="00C05D82">
        <w:t>, where a female occupies the role.</w:t>
      </w:r>
    </w:p>
    <w:p w14:paraId="78CF9BE4" w14:textId="77777777" w:rsidR="00C05D82" w:rsidRPr="00C05D82" w:rsidRDefault="00C05D82" w:rsidP="00C05D82">
      <w:pPr>
        <w:numPr>
          <w:ilvl w:val="1"/>
          <w:numId w:val="1"/>
        </w:numPr>
      </w:pPr>
      <w:r w:rsidRPr="00C05D82">
        <w:lastRenderedPageBreak/>
        <w:t>This imbalance at the executive level could indicate a potential glass ceiling effect, where women have limited access to the highest leadership positions within the organization.</w:t>
      </w:r>
    </w:p>
    <w:p w14:paraId="4F9C6533" w14:textId="77777777" w:rsidR="00C05D82" w:rsidRPr="00C05D82" w:rsidRDefault="00C05D82" w:rsidP="00C05D82">
      <w:r w:rsidRPr="00C05D82">
        <w:rPr>
          <w:b/>
          <w:bCs/>
        </w:rPr>
        <w:t>Implications and Recommendations:</w:t>
      </w:r>
    </w:p>
    <w:p w14:paraId="3DE33A9B" w14:textId="77777777" w:rsidR="00C05D82" w:rsidRPr="00C05D82" w:rsidRDefault="00C05D82" w:rsidP="00C05D82">
      <w:pPr>
        <w:numPr>
          <w:ilvl w:val="0"/>
          <w:numId w:val="2"/>
        </w:numPr>
      </w:pPr>
      <w:r w:rsidRPr="00C05D82">
        <w:rPr>
          <w:b/>
          <w:bCs/>
        </w:rPr>
        <w:t>Gender Diversity in Leadership:</w:t>
      </w:r>
    </w:p>
    <w:p w14:paraId="514C276C" w14:textId="77777777" w:rsidR="00C05D82" w:rsidRPr="00C05D82" w:rsidRDefault="00C05D82" w:rsidP="00C05D82">
      <w:pPr>
        <w:numPr>
          <w:ilvl w:val="1"/>
          <w:numId w:val="2"/>
        </w:numPr>
      </w:pPr>
      <w:r w:rsidRPr="00C05D82">
        <w:t>The data suggests a significant underrepresentation of women in leadership roles. To address this imbalance, the organization could consider implementing targeted development and mentorship programs aimed at preparing more women for leadership positions.</w:t>
      </w:r>
    </w:p>
    <w:p w14:paraId="71912F46" w14:textId="77777777" w:rsidR="00C05D82" w:rsidRPr="00C05D82" w:rsidRDefault="00C05D82" w:rsidP="00C05D82">
      <w:pPr>
        <w:numPr>
          <w:ilvl w:val="1"/>
          <w:numId w:val="2"/>
        </w:numPr>
      </w:pPr>
      <w:r w:rsidRPr="00C05D82">
        <w:t>Succession planning should include a focus on gender diversity, ensuring that there is a pipeline of qualified female candidates for future leadership roles.</w:t>
      </w:r>
    </w:p>
    <w:p w14:paraId="69CF96D9" w14:textId="77777777" w:rsidR="00C05D82" w:rsidRPr="00C05D82" w:rsidRDefault="00C05D82" w:rsidP="00C05D82">
      <w:pPr>
        <w:numPr>
          <w:ilvl w:val="0"/>
          <w:numId w:val="2"/>
        </w:numPr>
      </w:pPr>
      <w:r w:rsidRPr="00C05D82">
        <w:rPr>
          <w:b/>
          <w:bCs/>
        </w:rPr>
        <w:t>Retention Strategies for Women in Technical Roles:</w:t>
      </w:r>
    </w:p>
    <w:p w14:paraId="5BDAFDCA" w14:textId="77777777" w:rsidR="00C05D82" w:rsidRPr="00C05D82" w:rsidRDefault="00C05D82" w:rsidP="00C05D82">
      <w:pPr>
        <w:numPr>
          <w:ilvl w:val="1"/>
          <w:numId w:val="2"/>
        </w:numPr>
      </w:pPr>
      <w:r w:rsidRPr="00C05D82">
        <w:t>The stark difference in service years between males and females in engineering and technical roles suggests the need for targeted retention strategies. This could include fostering a more inclusive workplace culture, providing additional support or resources for women in these fields, and addressing any potential barriers to long-term career progression.</w:t>
      </w:r>
    </w:p>
    <w:p w14:paraId="7B470AFE" w14:textId="77777777" w:rsidR="00C05D82" w:rsidRPr="00C05D82" w:rsidRDefault="00C05D82" w:rsidP="00C05D82">
      <w:pPr>
        <w:numPr>
          <w:ilvl w:val="0"/>
          <w:numId w:val="2"/>
        </w:numPr>
      </w:pPr>
      <w:r w:rsidRPr="00C05D82">
        <w:rPr>
          <w:b/>
          <w:bCs/>
        </w:rPr>
        <w:t>Equal Opportunities for Advancement:</w:t>
      </w:r>
    </w:p>
    <w:p w14:paraId="6F7D9F97" w14:textId="77777777" w:rsidR="00C05D82" w:rsidRPr="00C05D82" w:rsidRDefault="00C05D82" w:rsidP="00C05D82">
      <w:pPr>
        <w:numPr>
          <w:ilvl w:val="1"/>
          <w:numId w:val="2"/>
        </w:numPr>
      </w:pPr>
      <w:r w:rsidRPr="00C05D82">
        <w:t>The organization should review its promotion and advancement policies to ensure that both genders have equal opportunities for progression, particularly in managerial and executive roles. This might involve revisiting criteria for promotion, offering leadership training, and ensuring transparent decision-making processes.</w:t>
      </w:r>
    </w:p>
    <w:p w14:paraId="416064A8" w14:textId="77777777" w:rsidR="00C05D82" w:rsidRPr="00C05D82" w:rsidRDefault="00C05D82" w:rsidP="00C05D82">
      <w:pPr>
        <w:numPr>
          <w:ilvl w:val="0"/>
          <w:numId w:val="2"/>
        </w:numPr>
      </w:pPr>
      <w:r w:rsidRPr="00C05D82">
        <w:rPr>
          <w:b/>
          <w:bCs/>
        </w:rPr>
        <w:t>Monitoring and Reporting:</w:t>
      </w:r>
    </w:p>
    <w:p w14:paraId="2A02642A" w14:textId="77777777" w:rsidR="00C05D82" w:rsidRPr="00C05D82" w:rsidRDefault="00C05D82" w:rsidP="00C05D82">
      <w:pPr>
        <w:numPr>
          <w:ilvl w:val="1"/>
          <w:numId w:val="2"/>
        </w:numPr>
      </w:pPr>
      <w:r w:rsidRPr="00C05D82">
        <w:t>Establish regular monitoring and reporting on gender balance across all occupations, particularly focusing on service years and advancement rates. This will help identify trends over time and allow the organization to make data-driven decisions to improve gender equity.</w:t>
      </w:r>
    </w:p>
    <w:p w14:paraId="38C95EA6" w14:textId="77777777" w:rsidR="00C05D82" w:rsidRPr="00C05D82" w:rsidRDefault="00C05D82" w:rsidP="00C05D82">
      <w:r w:rsidRPr="00C05D82">
        <w:t>In conclusion, while there is evidence of gender imbalance in certain areas of the organization, particularly in leadership and technical roles, the insights gained from this analysis can serve as a foundation for strategic initiatives aimed at promoting gender diversity and ensuring equal opportunities for all employees.</w:t>
      </w:r>
    </w:p>
    <w:p w14:paraId="0885E788" w14:textId="77777777" w:rsidR="00126ADD" w:rsidRDefault="00126ADD"/>
    <w:p w14:paraId="51520D73" w14:textId="77777777" w:rsidR="00E21C93" w:rsidRDefault="00E21C93"/>
    <w:p w14:paraId="1006A91A" w14:textId="77777777" w:rsidR="00E21C93" w:rsidRDefault="00E21C93"/>
    <w:p w14:paraId="62D98F39" w14:textId="229BB9BB" w:rsidR="00E21C93" w:rsidRPr="00E21C93" w:rsidRDefault="00E21C93" w:rsidP="00E21C93">
      <w:pPr>
        <w:rPr>
          <w:b/>
          <w:bCs/>
          <w:u w:val="single"/>
        </w:rPr>
      </w:pPr>
      <w:r w:rsidRPr="00E21C93">
        <w:rPr>
          <w:b/>
          <w:bCs/>
          <w:u w:val="single"/>
        </w:rPr>
        <w:t xml:space="preserve">Analysis of Leaves of </w:t>
      </w:r>
      <w:proofErr w:type="gramStart"/>
      <w:r w:rsidRPr="00E21C93">
        <w:rPr>
          <w:b/>
          <w:bCs/>
          <w:u w:val="single"/>
        </w:rPr>
        <w:t>Absence</w:t>
      </w:r>
      <w:r w:rsidR="00E77E49">
        <w:rPr>
          <w:b/>
          <w:bCs/>
          <w:u w:val="single"/>
        </w:rPr>
        <w:t>(</w:t>
      </w:r>
      <w:proofErr w:type="gramEnd"/>
      <w:r w:rsidR="00E77E49">
        <w:rPr>
          <w:b/>
          <w:bCs/>
          <w:u w:val="single"/>
        </w:rPr>
        <w:t>2)</w:t>
      </w:r>
    </w:p>
    <w:p w14:paraId="4F585A3E" w14:textId="77777777" w:rsidR="00E21C93" w:rsidRPr="00E21C93" w:rsidRDefault="00E21C93" w:rsidP="00E21C93">
      <w:pPr>
        <w:rPr>
          <w:b/>
          <w:bCs/>
        </w:rPr>
      </w:pPr>
      <w:r w:rsidRPr="00E21C93">
        <w:rPr>
          <w:b/>
          <w:bCs/>
        </w:rPr>
        <w:t>Overview</w:t>
      </w:r>
    </w:p>
    <w:p w14:paraId="0B8AE2E1" w14:textId="77777777" w:rsidR="00E21C93" w:rsidRPr="00E21C93" w:rsidRDefault="00E21C93" w:rsidP="00E21C93">
      <w:r w:rsidRPr="00E21C93">
        <w:t>The provided PivotTable data outlines the distribution of various types of leaves of absence (LTD, Maternity, Sick) across different occupations. The total number of leaves recorded is 239, with Long Term Disability (LTD) being the most common type of leave, followed by Sick Leave and Maternity Leave.</w:t>
      </w:r>
    </w:p>
    <w:p w14:paraId="6A2E89DB" w14:textId="77777777" w:rsidR="00E21C93" w:rsidRPr="00E21C93" w:rsidRDefault="00E21C93" w:rsidP="00E21C93">
      <w:pPr>
        <w:rPr>
          <w:b/>
          <w:bCs/>
        </w:rPr>
      </w:pPr>
      <w:r w:rsidRPr="00E21C93">
        <w:rPr>
          <w:b/>
          <w:bCs/>
        </w:rPr>
        <w:t>Key Findings</w:t>
      </w:r>
    </w:p>
    <w:p w14:paraId="166B98A3" w14:textId="77777777" w:rsidR="00E21C93" w:rsidRPr="00E21C93" w:rsidRDefault="00E21C93" w:rsidP="00E21C93">
      <w:pPr>
        <w:numPr>
          <w:ilvl w:val="0"/>
          <w:numId w:val="3"/>
        </w:numPr>
      </w:pPr>
      <w:r w:rsidRPr="00E21C93">
        <w:rPr>
          <w:b/>
          <w:bCs/>
        </w:rPr>
        <w:t>High Leave Counts by Occupation:</w:t>
      </w:r>
    </w:p>
    <w:p w14:paraId="38CB6548" w14:textId="77777777" w:rsidR="00E21C93" w:rsidRPr="00E21C93" w:rsidRDefault="00E21C93" w:rsidP="00E21C93">
      <w:pPr>
        <w:numPr>
          <w:ilvl w:val="1"/>
          <w:numId w:val="3"/>
        </w:numPr>
      </w:pPr>
      <w:r w:rsidRPr="00E21C93">
        <w:rPr>
          <w:b/>
          <w:bCs/>
        </w:rPr>
        <w:lastRenderedPageBreak/>
        <w:t>Clerks/Assistants:</w:t>
      </w:r>
      <w:r w:rsidRPr="00E21C93">
        <w:t xml:space="preserve"> This occupation has the highest total leave count (47), with 34 instances of LTD, 3 of Maternity, and 10 of Sick Leave. The significant number of LTD cases suggests a possible issue with long-term health or job dissatisfaction among Clerks/Assistants.</w:t>
      </w:r>
    </w:p>
    <w:p w14:paraId="6DF93A3E" w14:textId="77777777" w:rsidR="00E21C93" w:rsidRPr="00E21C93" w:rsidRDefault="00E21C93" w:rsidP="00E21C93">
      <w:pPr>
        <w:numPr>
          <w:ilvl w:val="1"/>
          <w:numId w:val="3"/>
        </w:numPr>
      </w:pPr>
      <w:r w:rsidRPr="00E21C93">
        <w:rPr>
          <w:b/>
          <w:bCs/>
        </w:rPr>
        <w:t>Trades:</w:t>
      </w:r>
      <w:r w:rsidRPr="00E21C93">
        <w:t xml:space="preserve"> With 40 total leaves (22 LTD, 2 Maternity, 16 Sick), Trades also show high leave rates. This pattern may indicate physical strain or other job-related stressors contributing to higher absenteeism.</w:t>
      </w:r>
    </w:p>
    <w:p w14:paraId="0D3C5A7B" w14:textId="77777777" w:rsidR="00E21C93" w:rsidRPr="00E21C93" w:rsidRDefault="00E21C93" w:rsidP="00E21C93">
      <w:pPr>
        <w:numPr>
          <w:ilvl w:val="1"/>
          <w:numId w:val="3"/>
        </w:numPr>
      </w:pPr>
      <w:r w:rsidRPr="00E21C93">
        <w:rPr>
          <w:b/>
          <w:bCs/>
        </w:rPr>
        <w:t>Engineer:</w:t>
      </w:r>
      <w:r w:rsidRPr="00E21C93">
        <w:t xml:space="preserve"> Engineers show a total of 35 leaves (21 LTD, 3 Maternity, 11 Sick), indicating that this occupation also has notable leave issues, particularly in LTD and Sick Leave categories.</w:t>
      </w:r>
    </w:p>
    <w:p w14:paraId="5F67E132" w14:textId="77777777" w:rsidR="00E21C93" w:rsidRPr="00E21C93" w:rsidRDefault="00E21C93" w:rsidP="00E21C93">
      <w:pPr>
        <w:numPr>
          <w:ilvl w:val="0"/>
          <w:numId w:val="3"/>
        </w:numPr>
      </w:pPr>
      <w:r w:rsidRPr="00E21C93">
        <w:rPr>
          <w:b/>
          <w:bCs/>
        </w:rPr>
        <w:t>Leave Type Distribution:</w:t>
      </w:r>
    </w:p>
    <w:p w14:paraId="2F372411" w14:textId="77777777" w:rsidR="00E21C93" w:rsidRPr="00E21C93" w:rsidRDefault="00E21C93" w:rsidP="00E21C93">
      <w:pPr>
        <w:numPr>
          <w:ilvl w:val="1"/>
          <w:numId w:val="3"/>
        </w:numPr>
      </w:pPr>
      <w:r w:rsidRPr="00E21C93">
        <w:rPr>
          <w:b/>
          <w:bCs/>
        </w:rPr>
        <w:t>Long Term Disability (LTD):</w:t>
      </w:r>
      <w:r w:rsidRPr="00E21C93">
        <w:t xml:space="preserve"> The most frequent leave type, with 145 instances. This high count suggests significant health-related absences, which may point to either serious health issues or possibly job-related factors affecting employee well-being.</w:t>
      </w:r>
    </w:p>
    <w:p w14:paraId="716F5F0A" w14:textId="77777777" w:rsidR="00E21C93" w:rsidRPr="00E21C93" w:rsidRDefault="00E21C93" w:rsidP="00E21C93">
      <w:pPr>
        <w:numPr>
          <w:ilvl w:val="1"/>
          <w:numId w:val="3"/>
        </w:numPr>
      </w:pPr>
      <w:r w:rsidRPr="00E21C93">
        <w:rPr>
          <w:b/>
          <w:bCs/>
        </w:rPr>
        <w:t>Sick Leave:</w:t>
      </w:r>
      <w:r w:rsidRPr="00E21C93">
        <w:t xml:space="preserve"> There are 75 instances of Sick Leave, which is substantial but less than LTD. This could reflect acute health issues or temporary illnesses.</w:t>
      </w:r>
    </w:p>
    <w:p w14:paraId="589DEBAE" w14:textId="77777777" w:rsidR="00E21C93" w:rsidRPr="00E21C93" w:rsidRDefault="00E21C93" w:rsidP="00E21C93">
      <w:pPr>
        <w:numPr>
          <w:ilvl w:val="1"/>
          <w:numId w:val="3"/>
        </w:numPr>
      </w:pPr>
      <w:r w:rsidRPr="00E21C93">
        <w:rPr>
          <w:b/>
          <w:bCs/>
        </w:rPr>
        <w:t>Maternity Leave:</w:t>
      </w:r>
      <w:r w:rsidRPr="00E21C93">
        <w:t xml:space="preserve"> The least common type, with 19 instances, which is expected but still noteworthy in terms of planning for staff coverage during these periods.</w:t>
      </w:r>
    </w:p>
    <w:p w14:paraId="3D676560" w14:textId="77777777" w:rsidR="00E21C93" w:rsidRPr="00E21C93" w:rsidRDefault="00E21C93" w:rsidP="00E21C93">
      <w:pPr>
        <w:numPr>
          <w:ilvl w:val="0"/>
          <w:numId w:val="3"/>
        </w:numPr>
      </w:pPr>
      <w:r w:rsidRPr="00E21C93">
        <w:rPr>
          <w:b/>
          <w:bCs/>
        </w:rPr>
        <w:t>Occupations with Low Leave Counts:</w:t>
      </w:r>
    </w:p>
    <w:p w14:paraId="42A8F4AF" w14:textId="77777777" w:rsidR="00E21C93" w:rsidRPr="00E21C93" w:rsidRDefault="00E21C93" w:rsidP="00E21C93">
      <w:pPr>
        <w:numPr>
          <w:ilvl w:val="1"/>
          <w:numId w:val="3"/>
        </w:numPr>
      </w:pPr>
      <w:r w:rsidRPr="00E21C93">
        <w:rPr>
          <w:b/>
          <w:bCs/>
        </w:rPr>
        <w:t>Executive Assistant:</w:t>
      </w:r>
      <w:r w:rsidRPr="00E21C93">
        <w:t xml:space="preserve"> Only 1 recorded leave, indicating relatively low absenteeism in this role.</w:t>
      </w:r>
    </w:p>
    <w:p w14:paraId="66BFAB1F" w14:textId="77777777" w:rsidR="00E21C93" w:rsidRPr="00E21C93" w:rsidRDefault="00E21C93" w:rsidP="00E21C93">
      <w:pPr>
        <w:numPr>
          <w:ilvl w:val="1"/>
          <w:numId w:val="3"/>
        </w:numPr>
      </w:pPr>
      <w:r w:rsidRPr="00E21C93">
        <w:rPr>
          <w:b/>
          <w:bCs/>
        </w:rPr>
        <w:t>Legal:</w:t>
      </w:r>
      <w:r w:rsidRPr="00E21C93">
        <w:t xml:space="preserve"> 2 leaves recorded, which is also low compared to other occupations.</w:t>
      </w:r>
    </w:p>
    <w:p w14:paraId="6214C463" w14:textId="77777777" w:rsidR="00E21C93" w:rsidRPr="00E21C93" w:rsidRDefault="00E21C93" w:rsidP="00E21C93">
      <w:pPr>
        <w:numPr>
          <w:ilvl w:val="1"/>
          <w:numId w:val="3"/>
        </w:numPr>
      </w:pPr>
      <w:r w:rsidRPr="00E21C93">
        <w:rPr>
          <w:b/>
          <w:bCs/>
        </w:rPr>
        <w:t>HR and IT:</w:t>
      </w:r>
      <w:r w:rsidRPr="00E21C93">
        <w:t xml:space="preserve"> Both have 6 leaves each, relatively low and suggesting stable attendance in these areas.</w:t>
      </w:r>
    </w:p>
    <w:p w14:paraId="51BEFB08" w14:textId="77777777" w:rsidR="00E21C93" w:rsidRPr="00E21C93" w:rsidRDefault="00E21C93" w:rsidP="00E21C93">
      <w:pPr>
        <w:rPr>
          <w:b/>
          <w:bCs/>
        </w:rPr>
      </w:pPr>
      <w:r w:rsidRPr="00E21C93">
        <w:rPr>
          <w:b/>
          <w:bCs/>
        </w:rPr>
        <w:t>Potential Problem Areas</w:t>
      </w:r>
    </w:p>
    <w:p w14:paraId="26B13F6B" w14:textId="77777777" w:rsidR="00E21C93" w:rsidRPr="00E21C93" w:rsidRDefault="00E21C93" w:rsidP="00E21C93">
      <w:pPr>
        <w:numPr>
          <w:ilvl w:val="0"/>
          <w:numId w:val="4"/>
        </w:numPr>
      </w:pPr>
      <w:r w:rsidRPr="00E21C93">
        <w:rPr>
          <w:b/>
          <w:bCs/>
        </w:rPr>
        <w:t>High Leave Rates:</w:t>
      </w:r>
    </w:p>
    <w:p w14:paraId="78DAB9B8" w14:textId="77777777" w:rsidR="00E21C93" w:rsidRPr="00E21C93" w:rsidRDefault="00E21C93" w:rsidP="00E21C93">
      <w:pPr>
        <w:numPr>
          <w:ilvl w:val="1"/>
          <w:numId w:val="4"/>
        </w:numPr>
      </w:pPr>
      <w:r w:rsidRPr="00E21C93">
        <w:rPr>
          <w:b/>
          <w:bCs/>
        </w:rPr>
        <w:t>Clerks/Assistants:</w:t>
      </w:r>
      <w:r w:rsidRPr="00E21C93">
        <w:t xml:space="preserve"> The high number of leaves, particularly LTD, may suggest job dissatisfaction, excessive workload, or other occupational issues. It is essential to investigate the underlying causes, as this could impact productivity and operational efficiency.</w:t>
      </w:r>
    </w:p>
    <w:p w14:paraId="7A13BD7A" w14:textId="77777777" w:rsidR="00E21C93" w:rsidRPr="00E21C93" w:rsidRDefault="00E21C93" w:rsidP="00E21C93">
      <w:pPr>
        <w:numPr>
          <w:ilvl w:val="1"/>
          <w:numId w:val="4"/>
        </w:numPr>
      </w:pPr>
      <w:r w:rsidRPr="00E21C93">
        <w:rPr>
          <w:b/>
          <w:bCs/>
        </w:rPr>
        <w:t>Trades:</w:t>
      </w:r>
      <w:r w:rsidRPr="00E21C93">
        <w:t xml:space="preserve"> The high rate of Sick and LTD leaves might indicate physical demands or hazardous working conditions. This could be a critical area for improving workplace safety or job satisfaction.</w:t>
      </w:r>
    </w:p>
    <w:p w14:paraId="6258F844" w14:textId="77777777" w:rsidR="00E21C93" w:rsidRPr="00E21C93" w:rsidRDefault="00E21C93" w:rsidP="00E21C93">
      <w:pPr>
        <w:numPr>
          <w:ilvl w:val="0"/>
          <w:numId w:val="4"/>
        </w:numPr>
      </w:pPr>
      <w:r w:rsidRPr="00E21C93">
        <w:rPr>
          <w:b/>
          <w:bCs/>
        </w:rPr>
        <w:t>Impact of LTD:</w:t>
      </w:r>
    </w:p>
    <w:p w14:paraId="0A3927CA" w14:textId="77777777" w:rsidR="00E21C93" w:rsidRPr="00E21C93" w:rsidRDefault="00E21C93" w:rsidP="00E21C93">
      <w:pPr>
        <w:numPr>
          <w:ilvl w:val="1"/>
          <w:numId w:val="4"/>
        </w:numPr>
      </w:pPr>
      <w:r w:rsidRPr="00E21C93">
        <w:t xml:space="preserve">LTD accounts for </w:t>
      </w:r>
      <w:proofErr w:type="gramStart"/>
      <w:r w:rsidRPr="00E21C93">
        <w:t>the majority of</w:t>
      </w:r>
      <w:proofErr w:type="gramEnd"/>
      <w:r w:rsidRPr="00E21C93">
        <w:t xml:space="preserve"> leaves, highlighting a need for addressing long-term health issues or reassessing job conditions that might be contributing to prolonged absences.</w:t>
      </w:r>
    </w:p>
    <w:p w14:paraId="4DB8371D" w14:textId="77777777" w:rsidR="00E21C93" w:rsidRPr="00E21C93" w:rsidRDefault="00E21C93" w:rsidP="00E21C93">
      <w:pPr>
        <w:numPr>
          <w:ilvl w:val="0"/>
          <w:numId w:val="4"/>
        </w:numPr>
      </w:pPr>
      <w:r w:rsidRPr="00E21C93">
        <w:rPr>
          <w:b/>
          <w:bCs/>
        </w:rPr>
        <w:t>Temporal Planning for Maternity Leave:</w:t>
      </w:r>
    </w:p>
    <w:p w14:paraId="2F273F5C" w14:textId="77777777" w:rsidR="00E21C93" w:rsidRPr="00E21C93" w:rsidRDefault="00E21C93" w:rsidP="00E21C93">
      <w:pPr>
        <w:numPr>
          <w:ilvl w:val="1"/>
          <w:numId w:val="4"/>
        </w:numPr>
      </w:pPr>
      <w:r w:rsidRPr="00E21C93">
        <w:t>Although Maternity Leave is the least frequent, planning and support systems should be in place to manage these absences effectively and ensure that they do not disrupt operations.</w:t>
      </w:r>
    </w:p>
    <w:p w14:paraId="0FB66E83" w14:textId="77777777" w:rsidR="00E21C93" w:rsidRPr="00E21C93" w:rsidRDefault="00E21C93" w:rsidP="00E21C93">
      <w:pPr>
        <w:rPr>
          <w:b/>
          <w:bCs/>
        </w:rPr>
      </w:pPr>
      <w:r w:rsidRPr="00E21C93">
        <w:rPr>
          <w:b/>
          <w:bCs/>
        </w:rPr>
        <w:t>Recommendations</w:t>
      </w:r>
    </w:p>
    <w:p w14:paraId="64BA5302" w14:textId="77777777" w:rsidR="00E21C93" w:rsidRPr="00E21C93" w:rsidRDefault="00E21C93" w:rsidP="00E21C93">
      <w:pPr>
        <w:numPr>
          <w:ilvl w:val="0"/>
          <w:numId w:val="5"/>
        </w:numPr>
      </w:pPr>
      <w:r w:rsidRPr="00E21C93">
        <w:rPr>
          <w:b/>
          <w:bCs/>
        </w:rPr>
        <w:lastRenderedPageBreak/>
        <w:t>Review and Improve Working Conditions:</w:t>
      </w:r>
    </w:p>
    <w:p w14:paraId="5B0F4F23" w14:textId="77777777" w:rsidR="00E21C93" w:rsidRPr="00E21C93" w:rsidRDefault="00E21C93" w:rsidP="00E21C93">
      <w:pPr>
        <w:numPr>
          <w:ilvl w:val="1"/>
          <w:numId w:val="5"/>
        </w:numPr>
      </w:pPr>
      <w:r w:rsidRPr="00E21C93">
        <w:t>For occupations with high LTD and Sick Leave rates, such as Clerks/Assistants and Trades, evaluate job conditions and implement measures to improve employee health and job satisfaction. This might include ergonomic assessments, workload adjustments, or enhanced support systems.</w:t>
      </w:r>
    </w:p>
    <w:p w14:paraId="755BE2A1" w14:textId="77777777" w:rsidR="00E21C93" w:rsidRPr="00E21C93" w:rsidRDefault="00E21C93" w:rsidP="00E21C93">
      <w:pPr>
        <w:numPr>
          <w:ilvl w:val="0"/>
          <w:numId w:val="5"/>
        </w:numPr>
      </w:pPr>
      <w:r w:rsidRPr="00E21C93">
        <w:rPr>
          <w:b/>
          <w:bCs/>
        </w:rPr>
        <w:t>Health and Wellness Programs:</w:t>
      </w:r>
    </w:p>
    <w:p w14:paraId="6112306C" w14:textId="77777777" w:rsidR="00E21C93" w:rsidRPr="00E21C93" w:rsidRDefault="00E21C93" w:rsidP="00E21C93">
      <w:pPr>
        <w:numPr>
          <w:ilvl w:val="1"/>
          <w:numId w:val="5"/>
        </w:numPr>
      </w:pPr>
      <w:r w:rsidRPr="00E21C93">
        <w:t>Implement or enhance health and wellness programs aimed at reducing both short-term and long-term health-related absences. This could involve regular health screenings, wellness initiatives, or mental health support.</w:t>
      </w:r>
    </w:p>
    <w:p w14:paraId="11D89BB2" w14:textId="77777777" w:rsidR="00E21C93" w:rsidRPr="00E21C93" w:rsidRDefault="00E21C93" w:rsidP="00E21C93">
      <w:pPr>
        <w:numPr>
          <w:ilvl w:val="0"/>
          <w:numId w:val="5"/>
        </w:numPr>
      </w:pPr>
      <w:r w:rsidRPr="00E21C93">
        <w:rPr>
          <w:b/>
          <w:bCs/>
        </w:rPr>
        <w:t>Adjust Leave Policies:</w:t>
      </w:r>
    </w:p>
    <w:p w14:paraId="3DD9A3D3" w14:textId="77777777" w:rsidR="00E21C93" w:rsidRPr="00E21C93" w:rsidRDefault="00E21C93" w:rsidP="00E21C93">
      <w:pPr>
        <w:numPr>
          <w:ilvl w:val="1"/>
          <w:numId w:val="5"/>
        </w:numPr>
      </w:pPr>
      <w:r w:rsidRPr="00E21C93">
        <w:t>Review current leave policies to ensure they adequately support employees while minimizing negative impacts on operations. For example, consider policies that offer better support for employees dealing with chronic health issues.</w:t>
      </w:r>
    </w:p>
    <w:p w14:paraId="616EBD47" w14:textId="77777777" w:rsidR="00E21C93" w:rsidRPr="00E21C93" w:rsidRDefault="00E21C93" w:rsidP="00E21C93">
      <w:pPr>
        <w:numPr>
          <w:ilvl w:val="0"/>
          <w:numId w:val="5"/>
        </w:numPr>
      </w:pPr>
      <w:r w:rsidRPr="00E21C93">
        <w:rPr>
          <w:b/>
          <w:bCs/>
        </w:rPr>
        <w:t>Monitor and Analyze Trends:</w:t>
      </w:r>
    </w:p>
    <w:p w14:paraId="70602EA6" w14:textId="77777777" w:rsidR="00E21C93" w:rsidRPr="00E21C93" w:rsidRDefault="00E21C93" w:rsidP="00E21C93">
      <w:pPr>
        <w:numPr>
          <w:ilvl w:val="1"/>
          <w:numId w:val="5"/>
        </w:numPr>
      </w:pPr>
      <w:r w:rsidRPr="00E21C93">
        <w:t>Regularly monitor leave patterns and trends to identify emerging issues early. Use this data to refine strategies and interventions aimed at reducing absenteeism and improving workforce stability.</w:t>
      </w:r>
    </w:p>
    <w:p w14:paraId="34EA78B0" w14:textId="77777777" w:rsidR="00E21C93" w:rsidRPr="00E21C93" w:rsidRDefault="00E21C93" w:rsidP="00E21C93">
      <w:pPr>
        <w:numPr>
          <w:ilvl w:val="0"/>
          <w:numId w:val="5"/>
        </w:numPr>
      </w:pPr>
      <w:r w:rsidRPr="00E21C93">
        <w:rPr>
          <w:b/>
          <w:bCs/>
        </w:rPr>
        <w:t>Ensure Effective Coverage for Maternity Leave:</w:t>
      </w:r>
    </w:p>
    <w:p w14:paraId="2224BE72" w14:textId="77777777" w:rsidR="00E21C93" w:rsidRPr="00E21C93" w:rsidRDefault="00E21C93" w:rsidP="00E21C93">
      <w:pPr>
        <w:numPr>
          <w:ilvl w:val="1"/>
          <w:numId w:val="5"/>
        </w:numPr>
      </w:pPr>
      <w:r w:rsidRPr="00E21C93">
        <w:t>Develop robust plans for covering roles during maternity leave to ensure minimal disruption. This includes cross-training staff and having temporary replacements ready if needed.</w:t>
      </w:r>
    </w:p>
    <w:p w14:paraId="76AAF254" w14:textId="77777777" w:rsidR="00E21C93" w:rsidRPr="00E21C93" w:rsidRDefault="00E21C93" w:rsidP="00E21C93">
      <w:r w:rsidRPr="00E21C93">
        <w:t>By addressing these areas, organizations can improve overall employee well-being, reduce absenteeism, and enhance productivity, while also ensuring a more stable and effective workforce.</w:t>
      </w:r>
    </w:p>
    <w:p w14:paraId="007339A2" w14:textId="77777777" w:rsidR="00E21C93" w:rsidRDefault="00E21C93"/>
    <w:p w14:paraId="155F8C72" w14:textId="77777777" w:rsidR="00E21C93" w:rsidRDefault="00E21C93"/>
    <w:p w14:paraId="1F5D892E" w14:textId="0C20894E" w:rsidR="00E21C93" w:rsidRPr="00E21C93" w:rsidRDefault="00E21C93" w:rsidP="00E21C93">
      <w:pPr>
        <w:rPr>
          <w:b/>
          <w:bCs/>
          <w:u w:val="single"/>
        </w:rPr>
      </w:pPr>
      <w:r w:rsidRPr="00E21C93">
        <w:rPr>
          <w:b/>
          <w:bCs/>
          <w:u w:val="single"/>
        </w:rPr>
        <w:t xml:space="preserve">Analysis of Future Retirement </w:t>
      </w:r>
      <w:proofErr w:type="gramStart"/>
      <w:r w:rsidRPr="00E21C93">
        <w:rPr>
          <w:b/>
          <w:bCs/>
          <w:u w:val="single"/>
        </w:rPr>
        <w:t>Potential</w:t>
      </w:r>
      <w:r w:rsidR="00E77E49">
        <w:rPr>
          <w:b/>
          <w:bCs/>
          <w:u w:val="single"/>
        </w:rPr>
        <w:t>(</w:t>
      </w:r>
      <w:proofErr w:type="gramEnd"/>
      <w:r w:rsidR="00E77E49">
        <w:rPr>
          <w:b/>
          <w:bCs/>
          <w:u w:val="single"/>
        </w:rPr>
        <w:t>3)</w:t>
      </w:r>
    </w:p>
    <w:p w14:paraId="62646056" w14:textId="77777777" w:rsidR="00E21C93" w:rsidRPr="00E21C93" w:rsidRDefault="00E21C93" w:rsidP="00E21C93">
      <w:r w:rsidRPr="00E21C93">
        <w:t>Based on the data provided, which identifies employees aged 60 and above with 25 or more years of service, the following analysis can be conducted to understand the potential impact of future retirements by occupation.</w:t>
      </w:r>
    </w:p>
    <w:p w14:paraId="3FD09DAE" w14:textId="77777777" w:rsidR="00E21C93" w:rsidRPr="00E21C93" w:rsidRDefault="00E21C93" w:rsidP="00E21C93">
      <w:pPr>
        <w:rPr>
          <w:b/>
          <w:bCs/>
        </w:rPr>
      </w:pPr>
      <w:r w:rsidRPr="00E21C93">
        <w:rPr>
          <w:b/>
          <w:bCs/>
        </w:rPr>
        <w:t>Summary of Potential Future Retirements</w:t>
      </w:r>
    </w:p>
    <w:p w14:paraId="413DFF44" w14:textId="77777777" w:rsidR="00E21C93" w:rsidRPr="00E21C93" w:rsidRDefault="00E21C93" w:rsidP="00E21C93">
      <w:r w:rsidRPr="00E21C93">
        <w:t>Here is the count of employees who meet the criteria of being aged 60+ and having 25+ years of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2264"/>
      </w:tblGrid>
      <w:tr w:rsidR="00E21C93" w:rsidRPr="00E21C93" w14:paraId="02FEBACD" w14:textId="77777777" w:rsidTr="00E21C93">
        <w:trPr>
          <w:tblHeader/>
          <w:tblCellSpacing w:w="15" w:type="dxa"/>
        </w:trPr>
        <w:tc>
          <w:tcPr>
            <w:tcW w:w="0" w:type="auto"/>
            <w:vAlign w:val="center"/>
            <w:hideMark/>
          </w:tcPr>
          <w:p w14:paraId="0276B27E" w14:textId="77777777" w:rsidR="00E21C93" w:rsidRPr="00E21C93" w:rsidRDefault="00E21C93" w:rsidP="00E21C93">
            <w:pPr>
              <w:rPr>
                <w:b/>
                <w:bCs/>
              </w:rPr>
            </w:pPr>
            <w:r w:rsidRPr="00E21C93">
              <w:rPr>
                <w:b/>
                <w:bCs/>
              </w:rPr>
              <w:t>Occupation</w:t>
            </w:r>
          </w:p>
        </w:tc>
        <w:tc>
          <w:tcPr>
            <w:tcW w:w="0" w:type="auto"/>
            <w:vAlign w:val="center"/>
            <w:hideMark/>
          </w:tcPr>
          <w:p w14:paraId="1EAA36A3" w14:textId="77777777" w:rsidR="00E21C93" w:rsidRPr="00E21C93" w:rsidRDefault="00E21C93" w:rsidP="00E21C93">
            <w:pPr>
              <w:rPr>
                <w:b/>
                <w:bCs/>
              </w:rPr>
            </w:pPr>
            <w:r w:rsidRPr="00E21C93">
              <w:rPr>
                <w:b/>
                <w:bCs/>
              </w:rPr>
              <w:t>Count of Employees</w:t>
            </w:r>
          </w:p>
        </w:tc>
      </w:tr>
      <w:tr w:rsidR="00E21C93" w:rsidRPr="00E21C93" w14:paraId="74F505F1" w14:textId="77777777" w:rsidTr="00E21C93">
        <w:trPr>
          <w:tblCellSpacing w:w="15" w:type="dxa"/>
        </w:trPr>
        <w:tc>
          <w:tcPr>
            <w:tcW w:w="0" w:type="auto"/>
            <w:vAlign w:val="center"/>
            <w:hideMark/>
          </w:tcPr>
          <w:p w14:paraId="0150FBB4" w14:textId="77777777" w:rsidR="00E21C93" w:rsidRPr="00E21C93" w:rsidRDefault="00E21C93" w:rsidP="00E21C93">
            <w:r w:rsidRPr="00E21C93">
              <w:t>Accounting</w:t>
            </w:r>
          </w:p>
        </w:tc>
        <w:tc>
          <w:tcPr>
            <w:tcW w:w="0" w:type="auto"/>
            <w:vAlign w:val="center"/>
            <w:hideMark/>
          </w:tcPr>
          <w:p w14:paraId="1AD4E8D5" w14:textId="77777777" w:rsidR="00E21C93" w:rsidRPr="00E21C93" w:rsidRDefault="00E21C93" w:rsidP="00E21C93">
            <w:r w:rsidRPr="00E21C93">
              <w:t>6</w:t>
            </w:r>
          </w:p>
        </w:tc>
      </w:tr>
      <w:tr w:rsidR="00E21C93" w:rsidRPr="00E21C93" w14:paraId="719097F6" w14:textId="77777777" w:rsidTr="00E21C93">
        <w:trPr>
          <w:tblCellSpacing w:w="15" w:type="dxa"/>
        </w:trPr>
        <w:tc>
          <w:tcPr>
            <w:tcW w:w="0" w:type="auto"/>
            <w:vAlign w:val="center"/>
            <w:hideMark/>
          </w:tcPr>
          <w:p w14:paraId="76F1E216" w14:textId="77777777" w:rsidR="00E21C93" w:rsidRPr="00E21C93" w:rsidRDefault="00E21C93" w:rsidP="00E21C93">
            <w:r w:rsidRPr="00E21C93">
              <w:t>Analysts</w:t>
            </w:r>
          </w:p>
        </w:tc>
        <w:tc>
          <w:tcPr>
            <w:tcW w:w="0" w:type="auto"/>
            <w:vAlign w:val="center"/>
            <w:hideMark/>
          </w:tcPr>
          <w:p w14:paraId="387B69A4" w14:textId="77777777" w:rsidR="00E21C93" w:rsidRPr="00E21C93" w:rsidRDefault="00E21C93" w:rsidP="00E21C93">
            <w:r w:rsidRPr="00E21C93">
              <w:t>9</w:t>
            </w:r>
          </w:p>
        </w:tc>
      </w:tr>
      <w:tr w:rsidR="00E21C93" w:rsidRPr="00E21C93" w14:paraId="26A3DEB2" w14:textId="77777777" w:rsidTr="00E21C93">
        <w:trPr>
          <w:tblCellSpacing w:w="15" w:type="dxa"/>
        </w:trPr>
        <w:tc>
          <w:tcPr>
            <w:tcW w:w="0" w:type="auto"/>
            <w:vAlign w:val="center"/>
            <w:hideMark/>
          </w:tcPr>
          <w:p w14:paraId="53229AF9" w14:textId="77777777" w:rsidR="00E21C93" w:rsidRPr="00E21C93" w:rsidRDefault="00E21C93" w:rsidP="00E21C93">
            <w:r w:rsidRPr="00E21C93">
              <w:t>Building Maintenance</w:t>
            </w:r>
          </w:p>
        </w:tc>
        <w:tc>
          <w:tcPr>
            <w:tcW w:w="0" w:type="auto"/>
            <w:vAlign w:val="center"/>
            <w:hideMark/>
          </w:tcPr>
          <w:p w14:paraId="71A01DCB" w14:textId="77777777" w:rsidR="00E21C93" w:rsidRPr="00E21C93" w:rsidRDefault="00E21C93" w:rsidP="00E21C93">
            <w:r w:rsidRPr="00E21C93">
              <w:t>1</w:t>
            </w:r>
          </w:p>
        </w:tc>
      </w:tr>
      <w:tr w:rsidR="00E21C93" w:rsidRPr="00E21C93" w14:paraId="237ED020" w14:textId="77777777" w:rsidTr="00E21C93">
        <w:trPr>
          <w:tblCellSpacing w:w="15" w:type="dxa"/>
        </w:trPr>
        <w:tc>
          <w:tcPr>
            <w:tcW w:w="0" w:type="auto"/>
            <w:vAlign w:val="center"/>
            <w:hideMark/>
          </w:tcPr>
          <w:p w14:paraId="77A3265B" w14:textId="77777777" w:rsidR="00E21C93" w:rsidRPr="00E21C93" w:rsidRDefault="00E21C93" w:rsidP="00E21C93">
            <w:r w:rsidRPr="00E21C93">
              <w:t>Business Development</w:t>
            </w:r>
          </w:p>
        </w:tc>
        <w:tc>
          <w:tcPr>
            <w:tcW w:w="0" w:type="auto"/>
            <w:vAlign w:val="center"/>
            <w:hideMark/>
          </w:tcPr>
          <w:p w14:paraId="49036D24" w14:textId="77777777" w:rsidR="00E21C93" w:rsidRPr="00E21C93" w:rsidRDefault="00E21C93" w:rsidP="00E21C93">
            <w:r w:rsidRPr="00E21C93">
              <w:t>10</w:t>
            </w:r>
          </w:p>
        </w:tc>
      </w:tr>
      <w:tr w:rsidR="00E21C93" w:rsidRPr="00E21C93" w14:paraId="4407761A" w14:textId="77777777" w:rsidTr="00E21C93">
        <w:trPr>
          <w:tblCellSpacing w:w="15" w:type="dxa"/>
        </w:trPr>
        <w:tc>
          <w:tcPr>
            <w:tcW w:w="0" w:type="auto"/>
            <w:vAlign w:val="center"/>
            <w:hideMark/>
          </w:tcPr>
          <w:p w14:paraId="5303317E" w14:textId="77777777" w:rsidR="00E21C93" w:rsidRPr="00E21C93" w:rsidRDefault="00E21C93" w:rsidP="00E21C93">
            <w:r w:rsidRPr="00E21C93">
              <w:t>Clerks/Assistants</w:t>
            </w:r>
          </w:p>
        </w:tc>
        <w:tc>
          <w:tcPr>
            <w:tcW w:w="0" w:type="auto"/>
            <w:vAlign w:val="center"/>
            <w:hideMark/>
          </w:tcPr>
          <w:p w14:paraId="3C8E8EC2" w14:textId="77777777" w:rsidR="00E21C93" w:rsidRPr="00E21C93" w:rsidRDefault="00E21C93" w:rsidP="00E21C93">
            <w:r w:rsidRPr="00E21C93">
              <w:t>19</w:t>
            </w:r>
          </w:p>
        </w:tc>
      </w:tr>
      <w:tr w:rsidR="00E21C93" w:rsidRPr="00E21C93" w14:paraId="234DFE22" w14:textId="77777777" w:rsidTr="00E21C93">
        <w:trPr>
          <w:tblCellSpacing w:w="15" w:type="dxa"/>
        </w:trPr>
        <w:tc>
          <w:tcPr>
            <w:tcW w:w="0" w:type="auto"/>
            <w:vAlign w:val="center"/>
            <w:hideMark/>
          </w:tcPr>
          <w:p w14:paraId="6D4AA42D" w14:textId="77777777" w:rsidR="00E21C93" w:rsidRPr="00E21C93" w:rsidRDefault="00E21C93" w:rsidP="00E21C93">
            <w:r w:rsidRPr="00E21C93">
              <w:t>Drafter</w:t>
            </w:r>
          </w:p>
        </w:tc>
        <w:tc>
          <w:tcPr>
            <w:tcW w:w="0" w:type="auto"/>
            <w:vAlign w:val="center"/>
            <w:hideMark/>
          </w:tcPr>
          <w:p w14:paraId="63893F4B" w14:textId="77777777" w:rsidR="00E21C93" w:rsidRPr="00E21C93" w:rsidRDefault="00E21C93" w:rsidP="00E21C93">
            <w:r w:rsidRPr="00E21C93">
              <w:t>27</w:t>
            </w:r>
          </w:p>
        </w:tc>
      </w:tr>
      <w:tr w:rsidR="00E21C93" w:rsidRPr="00E21C93" w14:paraId="4C4F38FB" w14:textId="77777777" w:rsidTr="00E21C93">
        <w:trPr>
          <w:tblCellSpacing w:w="15" w:type="dxa"/>
        </w:trPr>
        <w:tc>
          <w:tcPr>
            <w:tcW w:w="0" w:type="auto"/>
            <w:vAlign w:val="center"/>
            <w:hideMark/>
          </w:tcPr>
          <w:p w14:paraId="021B28AF" w14:textId="77777777" w:rsidR="00E21C93" w:rsidRPr="00E21C93" w:rsidRDefault="00E21C93" w:rsidP="00E21C93">
            <w:r w:rsidRPr="00E21C93">
              <w:lastRenderedPageBreak/>
              <w:t>Engineer</w:t>
            </w:r>
          </w:p>
        </w:tc>
        <w:tc>
          <w:tcPr>
            <w:tcW w:w="0" w:type="auto"/>
            <w:vAlign w:val="center"/>
            <w:hideMark/>
          </w:tcPr>
          <w:p w14:paraId="66F47C3E" w14:textId="77777777" w:rsidR="00E21C93" w:rsidRPr="00E21C93" w:rsidRDefault="00E21C93" w:rsidP="00E21C93">
            <w:r w:rsidRPr="00E21C93">
              <w:t>68</w:t>
            </w:r>
          </w:p>
        </w:tc>
      </w:tr>
      <w:tr w:rsidR="00E21C93" w:rsidRPr="00E21C93" w14:paraId="23E1D92C" w14:textId="77777777" w:rsidTr="00E21C93">
        <w:trPr>
          <w:tblCellSpacing w:w="15" w:type="dxa"/>
        </w:trPr>
        <w:tc>
          <w:tcPr>
            <w:tcW w:w="0" w:type="auto"/>
            <w:vAlign w:val="center"/>
            <w:hideMark/>
          </w:tcPr>
          <w:p w14:paraId="1649D997" w14:textId="77777777" w:rsidR="00E21C93" w:rsidRPr="00E21C93" w:rsidRDefault="00E21C93" w:rsidP="00E21C93">
            <w:r w:rsidRPr="00E21C93">
              <w:t>HR</w:t>
            </w:r>
          </w:p>
        </w:tc>
        <w:tc>
          <w:tcPr>
            <w:tcW w:w="0" w:type="auto"/>
            <w:vAlign w:val="center"/>
            <w:hideMark/>
          </w:tcPr>
          <w:p w14:paraId="2A2D389E" w14:textId="77777777" w:rsidR="00E21C93" w:rsidRPr="00E21C93" w:rsidRDefault="00E21C93" w:rsidP="00E21C93">
            <w:r w:rsidRPr="00E21C93">
              <w:t>4</w:t>
            </w:r>
          </w:p>
        </w:tc>
      </w:tr>
      <w:tr w:rsidR="00E21C93" w:rsidRPr="00E21C93" w14:paraId="501FDF5E" w14:textId="77777777" w:rsidTr="00E21C93">
        <w:trPr>
          <w:tblCellSpacing w:w="15" w:type="dxa"/>
        </w:trPr>
        <w:tc>
          <w:tcPr>
            <w:tcW w:w="0" w:type="auto"/>
            <w:vAlign w:val="center"/>
            <w:hideMark/>
          </w:tcPr>
          <w:p w14:paraId="2A55234F" w14:textId="77777777" w:rsidR="00E21C93" w:rsidRPr="00E21C93" w:rsidRDefault="00E21C93" w:rsidP="00E21C93">
            <w:r w:rsidRPr="00E21C93">
              <w:t>IT</w:t>
            </w:r>
          </w:p>
        </w:tc>
        <w:tc>
          <w:tcPr>
            <w:tcW w:w="0" w:type="auto"/>
            <w:vAlign w:val="center"/>
            <w:hideMark/>
          </w:tcPr>
          <w:p w14:paraId="1F385BA1" w14:textId="77777777" w:rsidR="00E21C93" w:rsidRPr="00E21C93" w:rsidRDefault="00E21C93" w:rsidP="00E21C93">
            <w:r w:rsidRPr="00E21C93">
              <w:t>3</w:t>
            </w:r>
          </w:p>
        </w:tc>
      </w:tr>
      <w:tr w:rsidR="00E21C93" w:rsidRPr="00E21C93" w14:paraId="576398C4" w14:textId="77777777" w:rsidTr="00E21C93">
        <w:trPr>
          <w:tblCellSpacing w:w="15" w:type="dxa"/>
        </w:trPr>
        <w:tc>
          <w:tcPr>
            <w:tcW w:w="0" w:type="auto"/>
            <w:vAlign w:val="center"/>
            <w:hideMark/>
          </w:tcPr>
          <w:p w14:paraId="71C8F59B" w14:textId="77777777" w:rsidR="00E21C93" w:rsidRPr="00E21C93" w:rsidRDefault="00E21C93" w:rsidP="00E21C93">
            <w:r w:rsidRPr="00E21C93">
              <w:t>Legal</w:t>
            </w:r>
          </w:p>
        </w:tc>
        <w:tc>
          <w:tcPr>
            <w:tcW w:w="0" w:type="auto"/>
            <w:vAlign w:val="center"/>
            <w:hideMark/>
          </w:tcPr>
          <w:p w14:paraId="4583410E" w14:textId="77777777" w:rsidR="00E21C93" w:rsidRPr="00E21C93" w:rsidRDefault="00E21C93" w:rsidP="00E21C93">
            <w:r w:rsidRPr="00E21C93">
              <w:t>1</w:t>
            </w:r>
          </w:p>
        </w:tc>
      </w:tr>
      <w:tr w:rsidR="00E21C93" w:rsidRPr="00E21C93" w14:paraId="15142B29" w14:textId="77777777" w:rsidTr="00E21C93">
        <w:trPr>
          <w:tblCellSpacing w:w="15" w:type="dxa"/>
        </w:trPr>
        <w:tc>
          <w:tcPr>
            <w:tcW w:w="0" w:type="auto"/>
            <w:vAlign w:val="center"/>
            <w:hideMark/>
          </w:tcPr>
          <w:p w14:paraId="22E87983" w14:textId="77777777" w:rsidR="00E21C93" w:rsidRPr="00E21C93" w:rsidRDefault="00E21C93" w:rsidP="00E21C93">
            <w:r w:rsidRPr="00E21C93">
              <w:t>Logistics</w:t>
            </w:r>
          </w:p>
        </w:tc>
        <w:tc>
          <w:tcPr>
            <w:tcW w:w="0" w:type="auto"/>
            <w:vAlign w:val="center"/>
            <w:hideMark/>
          </w:tcPr>
          <w:p w14:paraId="4B8A560E" w14:textId="77777777" w:rsidR="00E21C93" w:rsidRPr="00E21C93" w:rsidRDefault="00E21C93" w:rsidP="00E21C93">
            <w:r w:rsidRPr="00E21C93">
              <w:t>2</w:t>
            </w:r>
          </w:p>
        </w:tc>
      </w:tr>
      <w:tr w:rsidR="00E21C93" w:rsidRPr="00E21C93" w14:paraId="772E389D" w14:textId="77777777" w:rsidTr="00E21C93">
        <w:trPr>
          <w:tblCellSpacing w:w="15" w:type="dxa"/>
        </w:trPr>
        <w:tc>
          <w:tcPr>
            <w:tcW w:w="0" w:type="auto"/>
            <w:vAlign w:val="center"/>
            <w:hideMark/>
          </w:tcPr>
          <w:p w14:paraId="41C86FBA" w14:textId="77777777" w:rsidR="00E21C93" w:rsidRPr="00E21C93" w:rsidRDefault="00E21C93" w:rsidP="00E21C93">
            <w:r w:rsidRPr="00E21C93">
              <w:t>Managers</w:t>
            </w:r>
          </w:p>
        </w:tc>
        <w:tc>
          <w:tcPr>
            <w:tcW w:w="0" w:type="auto"/>
            <w:vAlign w:val="center"/>
            <w:hideMark/>
          </w:tcPr>
          <w:p w14:paraId="41731660" w14:textId="77777777" w:rsidR="00E21C93" w:rsidRPr="00E21C93" w:rsidRDefault="00E21C93" w:rsidP="00E21C93">
            <w:r w:rsidRPr="00E21C93">
              <w:t>6</w:t>
            </w:r>
          </w:p>
        </w:tc>
      </w:tr>
      <w:tr w:rsidR="00E21C93" w:rsidRPr="00E21C93" w14:paraId="646F937F" w14:textId="77777777" w:rsidTr="00E21C93">
        <w:trPr>
          <w:tblCellSpacing w:w="15" w:type="dxa"/>
        </w:trPr>
        <w:tc>
          <w:tcPr>
            <w:tcW w:w="0" w:type="auto"/>
            <w:vAlign w:val="center"/>
            <w:hideMark/>
          </w:tcPr>
          <w:p w14:paraId="433ED3C6" w14:textId="77777777" w:rsidR="00E21C93" w:rsidRPr="00E21C93" w:rsidRDefault="00E21C93" w:rsidP="00E21C93">
            <w:r w:rsidRPr="00E21C93">
              <w:t>Procurement</w:t>
            </w:r>
          </w:p>
        </w:tc>
        <w:tc>
          <w:tcPr>
            <w:tcW w:w="0" w:type="auto"/>
            <w:vAlign w:val="center"/>
            <w:hideMark/>
          </w:tcPr>
          <w:p w14:paraId="5C4F2C9E" w14:textId="77777777" w:rsidR="00E21C93" w:rsidRPr="00E21C93" w:rsidRDefault="00E21C93" w:rsidP="00E21C93">
            <w:r w:rsidRPr="00E21C93">
              <w:t>2</w:t>
            </w:r>
          </w:p>
        </w:tc>
      </w:tr>
      <w:tr w:rsidR="00E21C93" w:rsidRPr="00E21C93" w14:paraId="3DD96FCB" w14:textId="77777777" w:rsidTr="00E21C93">
        <w:trPr>
          <w:tblCellSpacing w:w="15" w:type="dxa"/>
        </w:trPr>
        <w:tc>
          <w:tcPr>
            <w:tcW w:w="0" w:type="auto"/>
            <w:vAlign w:val="center"/>
            <w:hideMark/>
          </w:tcPr>
          <w:p w14:paraId="277A50C5" w14:textId="77777777" w:rsidR="00E21C93" w:rsidRPr="00E21C93" w:rsidRDefault="00E21C93" w:rsidP="00E21C93">
            <w:r w:rsidRPr="00E21C93">
              <w:t>Project Managers</w:t>
            </w:r>
          </w:p>
        </w:tc>
        <w:tc>
          <w:tcPr>
            <w:tcW w:w="0" w:type="auto"/>
            <w:vAlign w:val="center"/>
            <w:hideMark/>
          </w:tcPr>
          <w:p w14:paraId="1A79630B" w14:textId="77777777" w:rsidR="00E21C93" w:rsidRPr="00E21C93" w:rsidRDefault="00E21C93" w:rsidP="00E21C93">
            <w:r w:rsidRPr="00E21C93">
              <w:t>11</w:t>
            </w:r>
          </w:p>
        </w:tc>
      </w:tr>
      <w:tr w:rsidR="00E21C93" w:rsidRPr="00E21C93" w14:paraId="34A04AB9" w14:textId="77777777" w:rsidTr="00E21C93">
        <w:trPr>
          <w:tblCellSpacing w:w="15" w:type="dxa"/>
        </w:trPr>
        <w:tc>
          <w:tcPr>
            <w:tcW w:w="0" w:type="auto"/>
            <w:vAlign w:val="center"/>
            <w:hideMark/>
          </w:tcPr>
          <w:p w14:paraId="59A28D92" w14:textId="77777777" w:rsidR="00E21C93" w:rsidRPr="00E21C93" w:rsidRDefault="00E21C93" w:rsidP="00E21C93">
            <w:r w:rsidRPr="00E21C93">
              <w:t>Technician - Engineering</w:t>
            </w:r>
          </w:p>
        </w:tc>
        <w:tc>
          <w:tcPr>
            <w:tcW w:w="0" w:type="auto"/>
            <w:vAlign w:val="center"/>
            <w:hideMark/>
          </w:tcPr>
          <w:p w14:paraId="4C1DF72D" w14:textId="77777777" w:rsidR="00E21C93" w:rsidRPr="00E21C93" w:rsidRDefault="00E21C93" w:rsidP="00E21C93">
            <w:r w:rsidRPr="00E21C93">
              <w:t>23</w:t>
            </w:r>
          </w:p>
        </w:tc>
      </w:tr>
      <w:tr w:rsidR="00E21C93" w:rsidRPr="00E21C93" w14:paraId="7A2CF49F" w14:textId="77777777" w:rsidTr="00E21C93">
        <w:trPr>
          <w:tblCellSpacing w:w="15" w:type="dxa"/>
        </w:trPr>
        <w:tc>
          <w:tcPr>
            <w:tcW w:w="0" w:type="auto"/>
            <w:vAlign w:val="center"/>
            <w:hideMark/>
          </w:tcPr>
          <w:p w14:paraId="045F58BA" w14:textId="77777777" w:rsidR="00E21C93" w:rsidRPr="00E21C93" w:rsidRDefault="00E21C93" w:rsidP="00E21C93">
            <w:r w:rsidRPr="00E21C93">
              <w:t>Trades</w:t>
            </w:r>
          </w:p>
        </w:tc>
        <w:tc>
          <w:tcPr>
            <w:tcW w:w="0" w:type="auto"/>
            <w:vAlign w:val="center"/>
            <w:hideMark/>
          </w:tcPr>
          <w:p w14:paraId="58DB8FEA" w14:textId="77777777" w:rsidR="00E21C93" w:rsidRPr="00E21C93" w:rsidRDefault="00E21C93" w:rsidP="00E21C93">
            <w:r w:rsidRPr="00E21C93">
              <w:t>45</w:t>
            </w:r>
          </w:p>
        </w:tc>
      </w:tr>
      <w:tr w:rsidR="00E21C93" w:rsidRPr="00E21C93" w14:paraId="36D9567B" w14:textId="77777777" w:rsidTr="00E21C93">
        <w:trPr>
          <w:tblCellSpacing w:w="15" w:type="dxa"/>
        </w:trPr>
        <w:tc>
          <w:tcPr>
            <w:tcW w:w="0" w:type="auto"/>
            <w:vAlign w:val="center"/>
            <w:hideMark/>
          </w:tcPr>
          <w:p w14:paraId="29B17831" w14:textId="77777777" w:rsidR="00E21C93" w:rsidRPr="00E21C93" w:rsidRDefault="00E21C93" w:rsidP="00E21C93">
            <w:r w:rsidRPr="00E21C93">
              <w:rPr>
                <w:b/>
                <w:bCs/>
              </w:rPr>
              <w:t>Grand Total</w:t>
            </w:r>
          </w:p>
        </w:tc>
        <w:tc>
          <w:tcPr>
            <w:tcW w:w="0" w:type="auto"/>
            <w:vAlign w:val="center"/>
            <w:hideMark/>
          </w:tcPr>
          <w:p w14:paraId="185CB004" w14:textId="77777777" w:rsidR="00E21C93" w:rsidRPr="00E21C93" w:rsidRDefault="00E21C93" w:rsidP="00E21C93">
            <w:r w:rsidRPr="00E21C93">
              <w:rPr>
                <w:b/>
                <w:bCs/>
              </w:rPr>
              <w:t>237</w:t>
            </w:r>
          </w:p>
        </w:tc>
      </w:tr>
    </w:tbl>
    <w:p w14:paraId="4AD77C08" w14:textId="77777777" w:rsidR="00E21C93" w:rsidRPr="00E21C93" w:rsidRDefault="00E21C93" w:rsidP="00E21C93">
      <w:pPr>
        <w:rPr>
          <w:b/>
          <w:bCs/>
        </w:rPr>
      </w:pPr>
      <w:r w:rsidRPr="00E21C93">
        <w:rPr>
          <w:b/>
          <w:bCs/>
        </w:rPr>
        <w:t>Key Insights</w:t>
      </w:r>
    </w:p>
    <w:p w14:paraId="47BE2675" w14:textId="77777777" w:rsidR="00E21C93" w:rsidRPr="00E21C93" w:rsidRDefault="00E21C93" w:rsidP="00E21C93">
      <w:pPr>
        <w:numPr>
          <w:ilvl w:val="0"/>
          <w:numId w:val="6"/>
        </w:numPr>
      </w:pPr>
      <w:r w:rsidRPr="00E21C93">
        <w:rPr>
          <w:b/>
          <w:bCs/>
        </w:rPr>
        <w:t>Occupations with Highest Future Retirement Counts:</w:t>
      </w:r>
    </w:p>
    <w:p w14:paraId="64D63164" w14:textId="77777777" w:rsidR="00E21C93" w:rsidRPr="00E21C93" w:rsidRDefault="00E21C93" w:rsidP="00E21C93">
      <w:pPr>
        <w:numPr>
          <w:ilvl w:val="1"/>
          <w:numId w:val="6"/>
        </w:numPr>
      </w:pPr>
      <w:r w:rsidRPr="00E21C93">
        <w:rPr>
          <w:b/>
          <w:bCs/>
        </w:rPr>
        <w:t>Engineer:</w:t>
      </w:r>
      <w:r w:rsidRPr="00E21C93">
        <w:t xml:space="preserve"> 68 employees, the highest count among all occupations. This suggests a significant number of upcoming retirements in this critical technical area, which could impact engineering projects and operations.</w:t>
      </w:r>
    </w:p>
    <w:p w14:paraId="0831AFD5" w14:textId="77777777" w:rsidR="00E21C93" w:rsidRPr="00E21C93" w:rsidRDefault="00E21C93" w:rsidP="00E21C93">
      <w:pPr>
        <w:numPr>
          <w:ilvl w:val="1"/>
          <w:numId w:val="6"/>
        </w:numPr>
      </w:pPr>
      <w:r w:rsidRPr="00E21C93">
        <w:rPr>
          <w:b/>
          <w:bCs/>
        </w:rPr>
        <w:t>Trades:</w:t>
      </w:r>
      <w:r w:rsidRPr="00E21C93">
        <w:t xml:space="preserve"> 45 employees, also a significant number, indicating a potential shortage in skilled trades roles.</w:t>
      </w:r>
    </w:p>
    <w:p w14:paraId="7533446F" w14:textId="77777777" w:rsidR="00E21C93" w:rsidRPr="00E21C93" w:rsidRDefault="00E21C93" w:rsidP="00E21C93">
      <w:pPr>
        <w:numPr>
          <w:ilvl w:val="1"/>
          <w:numId w:val="6"/>
        </w:numPr>
      </w:pPr>
      <w:r w:rsidRPr="00E21C93">
        <w:rPr>
          <w:b/>
          <w:bCs/>
        </w:rPr>
        <w:t>Drafter:</w:t>
      </w:r>
      <w:r w:rsidRPr="00E21C93">
        <w:t xml:space="preserve"> 27 employees, showing a notable number of future retirements that may affect drafting and design functions.</w:t>
      </w:r>
    </w:p>
    <w:p w14:paraId="4AD55028" w14:textId="77777777" w:rsidR="00E21C93" w:rsidRPr="00E21C93" w:rsidRDefault="00E21C93" w:rsidP="00E21C93">
      <w:pPr>
        <w:numPr>
          <w:ilvl w:val="0"/>
          <w:numId w:val="6"/>
        </w:numPr>
      </w:pPr>
      <w:r w:rsidRPr="00E21C93">
        <w:rPr>
          <w:b/>
          <w:bCs/>
        </w:rPr>
        <w:t>Moderate Impact Occupations:</w:t>
      </w:r>
    </w:p>
    <w:p w14:paraId="7470F5B4" w14:textId="77777777" w:rsidR="00E21C93" w:rsidRPr="00E21C93" w:rsidRDefault="00E21C93" w:rsidP="00E21C93">
      <w:pPr>
        <w:numPr>
          <w:ilvl w:val="1"/>
          <w:numId w:val="6"/>
        </w:numPr>
      </w:pPr>
      <w:r w:rsidRPr="00E21C93">
        <w:rPr>
          <w:b/>
          <w:bCs/>
        </w:rPr>
        <w:t>Business Development:</w:t>
      </w:r>
      <w:r w:rsidRPr="00E21C93">
        <w:t xml:space="preserve"> 10 employees, indicating some impact on business development functions.</w:t>
      </w:r>
    </w:p>
    <w:p w14:paraId="2C8EFF2A" w14:textId="77777777" w:rsidR="00E21C93" w:rsidRPr="00E21C93" w:rsidRDefault="00E21C93" w:rsidP="00E21C93">
      <w:pPr>
        <w:numPr>
          <w:ilvl w:val="1"/>
          <w:numId w:val="6"/>
        </w:numPr>
      </w:pPr>
      <w:r w:rsidRPr="00E21C93">
        <w:rPr>
          <w:b/>
          <w:bCs/>
        </w:rPr>
        <w:t>Project Managers:</w:t>
      </w:r>
      <w:r w:rsidRPr="00E21C93">
        <w:t xml:space="preserve"> 11 employees, suggesting a notable potential impact on project management capacity.</w:t>
      </w:r>
    </w:p>
    <w:p w14:paraId="04DFC301" w14:textId="77777777" w:rsidR="00E21C93" w:rsidRPr="00E21C93" w:rsidRDefault="00E21C93" w:rsidP="00E21C93">
      <w:pPr>
        <w:numPr>
          <w:ilvl w:val="0"/>
          <w:numId w:val="6"/>
        </w:numPr>
      </w:pPr>
      <w:r w:rsidRPr="00E21C93">
        <w:rPr>
          <w:b/>
          <w:bCs/>
        </w:rPr>
        <w:t>Lower Impact Occupations:</w:t>
      </w:r>
    </w:p>
    <w:p w14:paraId="1748C18D" w14:textId="77777777" w:rsidR="00E21C93" w:rsidRPr="00E21C93" w:rsidRDefault="00E21C93" w:rsidP="00E21C93">
      <w:pPr>
        <w:numPr>
          <w:ilvl w:val="1"/>
          <w:numId w:val="6"/>
        </w:numPr>
      </w:pPr>
      <w:r w:rsidRPr="00E21C93">
        <w:rPr>
          <w:b/>
          <w:bCs/>
        </w:rPr>
        <w:t>HR (4 employees), IT (3 employees), Legal (1 employee), and Logistics (2 employees):</w:t>
      </w:r>
      <w:r w:rsidRPr="00E21C93">
        <w:t xml:space="preserve"> These roles have fewer employees nearing retirement, indicating a lower immediate impact in these areas.</w:t>
      </w:r>
    </w:p>
    <w:p w14:paraId="5D35FCF0" w14:textId="77777777" w:rsidR="00E21C93" w:rsidRPr="00E21C93" w:rsidRDefault="00E21C93" w:rsidP="00E21C93">
      <w:pPr>
        <w:numPr>
          <w:ilvl w:val="0"/>
          <w:numId w:val="6"/>
        </w:numPr>
      </w:pPr>
      <w:r w:rsidRPr="00E21C93">
        <w:rPr>
          <w:b/>
          <w:bCs/>
        </w:rPr>
        <w:t>Overall Impact:</w:t>
      </w:r>
    </w:p>
    <w:p w14:paraId="7B355E4C" w14:textId="77777777" w:rsidR="00E21C93" w:rsidRPr="00E21C93" w:rsidRDefault="00E21C93" w:rsidP="00E21C93">
      <w:pPr>
        <w:numPr>
          <w:ilvl w:val="1"/>
          <w:numId w:val="6"/>
        </w:numPr>
      </w:pPr>
      <w:r w:rsidRPr="00E21C93">
        <w:rPr>
          <w:b/>
          <w:bCs/>
        </w:rPr>
        <w:t>Grand Total:</w:t>
      </w:r>
      <w:r w:rsidRPr="00E21C93">
        <w:t xml:space="preserve"> 237 employees across all listed occupations are approaching retirement, which represents a significant portion of the workforce. Planning for these retirements will be crucial to maintain operational stability and knowledge continuity.</w:t>
      </w:r>
    </w:p>
    <w:p w14:paraId="496F8504" w14:textId="77777777" w:rsidR="00E21C93" w:rsidRPr="00E21C93" w:rsidRDefault="00E21C93" w:rsidP="00E21C93">
      <w:pPr>
        <w:rPr>
          <w:b/>
          <w:bCs/>
        </w:rPr>
      </w:pPr>
      <w:r w:rsidRPr="00E21C93">
        <w:rPr>
          <w:b/>
          <w:bCs/>
        </w:rPr>
        <w:t>Recommendations</w:t>
      </w:r>
    </w:p>
    <w:p w14:paraId="564ECA96" w14:textId="77777777" w:rsidR="00E21C93" w:rsidRPr="00E21C93" w:rsidRDefault="00E21C93" w:rsidP="00E21C93">
      <w:pPr>
        <w:numPr>
          <w:ilvl w:val="0"/>
          <w:numId w:val="7"/>
        </w:numPr>
      </w:pPr>
      <w:r w:rsidRPr="00E21C93">
        <w:rPr>
          <w:b/>
          <w:bCs/>
        </w:rPr>
        <w:t>Develop Succession Plans:</w:t>
      </w:r>
    </w:p>
    <w:p w14:paraId="27BEB80E" w14:textId="77777777" w:rsidR="00E21C93" w:rsidRPr="00E21C93" w:rsidRDefault="00E21C93" w:rsidP="00E21C93">
      <w:pPr>
        <w:numPr>
          <w:ilvl w:val="1"/>
          <w:numId w:val="7"/>
        </w:numPr>
      </w:pPr>
      <w:r w:rsidRPr="00E21C93">
        <w:rPr>
          <w:b/>
          <w:bCs/>
        </w:rPr>
        <w:t>Engineer and Trades:</w:t>
      </w:r>
      <w:r w:rsidRPr="00E21C93">
        <w:t xml:space="preserve"> Given the high number of potential retirements in these critical areas, it is essential to develop robust succession plans. Identify and train potential replacements or consider hiring new talent to fill these gaps.</w:t>
      </w:r>
    </w:p>
    <w:p w14:paraId="5AA7C993" w14:textId="77777777" w:rsidR="00E21C93" w:rsidRPr="00E21C93" w:rsidRDefault="00E21C93" w:rsidP="00E21C93">
      <w:pPr>
        <w:numPr>
          <w:ilvl w:val="1"/>
          <w:numId w:val="7"/>
        </w:numPr>
      </w:pPr>
      <w:r w:rsidRPr="00E21C93">
        <w:rPr>
          <w:b/>
          <w:bCs/>
        </w:rPr>
        <w:lastRenderedPageBreak/>
        <w:t>Project Managers and Business Development:</w:t>
      </w:r>
      <w:r w:rsidRPr="00E21C93">
        <w:t xml:space="preserve"> Plan for transitions and ensure that there is a pipeline of trained personnel ready to step into these roles.</w:t>
      </w:r>
    </w:p>
    <w:p w14:paraId="71ECFA18" w14:textId="77777777" w:rsidR="00E21C93" w:rsidRPr="00E21C93" w:rsidRDefault="00E21C93" w:rsidP="00E21C93">
      <w:pPr>
        <w:numPr>
          <w:ilvl w:val="0"/>
          <w:numId w:val="7"/>
        </w:numPr>
      </w:pPr>
      <w:r w:rsidRPr="00E21C93">
        <w:rPr>
          <w:b/>
          <w:bCs/>
        </w:rPr>
        <w:t>Knowledge Transfer:</w:t>
      </w:r>
    </w:p>
    <w:p w14:paraId="2B4367ED" w14:textId="77777777" w:rsidR="00E21C93" w:rsidRPr="00E21C93" w:rsidRDefault="00E21C93" w:rsidP="00E21C93">
      <w:pPr>
        <w:numPr>
          <w:ilvl w:val="1"/>
          <w:numId w:val="7"/>
        </w:numPr>
      </w:pPr>
      <w:r w:rsidRPr="00E21C93">
        <w:t>Implement knowledge transfer programs to ensure that critical knowledge and expertise are passed on to younger or newly hired employees before the retirements occur.</w:t>
      </w:r>
    </w:p>
    <w:p w14:paraId="53F6B6A7" w14:textId="77777777" w:rsidR="00E21C93" w:rsidRPr="00E21C93" w:rsidRDefault="00E21C93" w:rsidP="00E21C93">
      <w:pPr>
        <w:numPr>
          <w:ilvl w:val="0"/>
          <w:numId w:val="7"/>
        </w:numPr>
      </w:pPr>
      <w:r w:rsidRPr="00E21C93">
        <w:rPr>
          <w:b/>
          <w:bCs/>
        </w:rPr>
        <w:t>Recruitment Strategy:</w:t>
      </w:r>
    </w:p>
    <w:p w14:paraId="3ACA106A" w14:textId="77777777" w:rsidR="00E21C93" w:rsidRPr="00E21C93" w:rsidRDefault="00E21C93" w:rsidP="00E21C93">
      <w:pPr>
        <w:numPr>
          <w:ilvl w:val="1"/>
          <w:numId w:val="7"/>
        </w:numPr>
      </w:pPr>
      <w:r w:rsidRPr="00E21C93">
        <w:t>Begin targeted recruitment efforts to address anticipated shortages in high-impact areas such as Engineering and Trades. This might include internship programs, partnerships with educational institutions, and competitive hiring practices.</w:t>
      </w:r>
    </w:p>
    <w:p w14:paraId="74E493FD" w14:textId="77777777" w:rsidR="00E21C93" w:rsidRPr="00E21C93" w:rsidRDefault="00E21C93" w:rsidP="00E21C93">
      <w:pPr>
        <w:numPr>
          <w:ilvl w:val="0"/>
          <w:numId w:val="7"/>
        </w:numPr>
      </w:pPr>
      <w:r w:rsidRPr="00E21C93">
        <w:rPr>
          <w:b/>
          <w:bCs/>
        </w:rPr>
        <w:t>Monitor and Update:</w:t>
      </w:r>
    </w:p>
    <w:p w14:paraId="000E36D1" w14:textId="77777777" w:rsidR="00E21C93" w:rsidRPr="00E21C93" w:rsidRDefault="00E21C93" w:rsidP="00E21C93">
      <w:pPr>
        <w:numPr>
          <w:ilvl w:val="1"/>
          <w:numId w:val="7"/>
        </w:numPr>
      </w:pPr>
      <w:r w:rsidRPr="00E21C93">
        <w:t>Continuously monitor retirement trends and update your workforce planning strategies accordingly. Regularly review and adjust succession plans based on new data and evolving organizational needs.</w:t>
      </w:r>
    </w:p>
    <w:p w14:paraId="3C59A49A" w14:textId="77777777" w:rsidR="00E21C93" w:rsidRPr="00E21C93" w:rsidRDefault="00E21C93" w:rsidP="00E21C93">
      <w:pPr>
        <w:numPr>
          <w:ilvl w:val="0"/>
          <w:numId w:val="7"/>
        </w:numPr>
      </w:pPr>
      <w:r w:rsidRPr="00E21C93">
        <w:rPr>
          <w:b/>
          <w:bCs/>
        </w:rPr>
        <w:t>Employee Engagement:</w:t>
      </w:r>
    </w:p>
    <w:p w14:paraId="560C7605" w14:textId="77777777" w:rsidR="00E21C93" w:rsidRPr="00E21C93" w:rsidRDefault="00E21C93" w:rsidP="00E21C93">
      <w:pPr>
        <w:numPr>
          <w:ilvl w:val="1"/>
          <w:numId w:val="7"/>
        </w:numPr>
      </w:pPr>
      <w:r w:rsidRPr="00E21C93">
        <w:t>Consider programs to engage and retain employees who might be close to retirement. Offering phased retirement options or part-time opportunities can help retain experienced staff and ease the transition.</w:t>
      </w:r>
    </w:p>
    <w:p w14:paraId="37188FA2" w14:textId="77777777" w:rsidR="00E21C93" w:rsidRPr="00E21C93" w:rsidRDefault="00E21C93" w:rsidP="00E21C93">
      <w:r w:rsidRPr="00E21C93">
        <w:t>By proactively addressing these potential retirements, your organization can better manage workforce changes, mitigate disruptions, and ensure continued success and stability in key operational areas.</w:t>
      </w:r>
    </w:p>
    <w:p w14:paraId="26903652" w14:textId="77777777" w:rsidR="00E21C93" w:rsidRDefault="00E21C93"/>
    <w:p w14:paraId="62BCF6D9" w14:textId="77777777" w:rsidR="00E21C93" w:rsidRDefault="00E21C93"/>
    <w:p w14:paraId="7FA668FE" w14:textId="11836E0F" w:rsidR="00E21C93" w:rsidRPr="00E21C93" w:rsidRDefault="00E21C93" w:rsidP="00E21C93">
      <w:pPr>
        <w:rPr>
          <w:b/>
          <w:bCs/>
          <w:u w:val="single"/>
        </w:rPr>
      </w:pPr>
      <w:r w:rsidRPr="00E21C93">
        <w:rPr>
          <w:b/>
          <w:bCs/>
          <w:u w:val="single"/>
        </w:rPr>
        <w:t>Turnover Analysis by Termination Reason and Category</w:t>
      </w:r>
      <w:r w:rsidR="00E77E49">
        <w:rPr>
          <w:b/>
          <w:bCs/>
          <w:u w:val="single"/>
        </w:rPr>
        <w:t>(4)</w:t>
      </w:r>
    </w:p>
    <w:p w14:paraId="2E16CEE3" w14:textId="77777777" w:rsidR="00E21C93" w:rsidRPr="00E21C93" w:rsidRDefault="00E21C93" w:rsidP="00E21C93">
      <w:pPr>
        <w:rPr>
          <w:b/>
          <w:bCs/>
        </w:rPr>
      </w:pPr>
      <w:r w:rsidRPr="00E21C93">
        <w:rPr>
          <w:b/>
          <w:bCs/>
        </w:rPr>
        <w:t>Summary of Findings</w:t>
      </w:r>
    </w:p>
    <w:p w14:paraId="3C0BA29F" w14:textId="77777777" w:rsidR="00E21C93" w:rsidRPr="00E21C93" w:rsidRDefault="00E21C93" w:rsidP="00E21C93">
      <w:r w:rsidRPr="00E21C93">
        <w:t>From the provided data, we have detailed turnover information by occupation and termination reason, with the exclusion of retirement and early retirement. This data can be used to identify patterns and potential problem areas in employee turnover.</w:t>
      </w:r>
    </w:p>
    <w:p w14:paraId="256A8488" w14:textId="77777777" w:rsidR="00E21C93" w:rsidRPr="00E21C93" w:rsidRDefault="00E21C93" w:rsidP="00E21C93">
      <w:pPr>
        <w:rPr>
          <w:b/>
          <w:bCs/>
        </w:rPr>
      </w:pPr>
      <w:r w:rsidRPr="00E21C93">
        <w:rPr>
          <w:b/>
          <w:bCs/>
        </w:rPr>
        <w:t>1. Turnover Patterns by Termination Reason</w:t>
      </w:r>
    </w:p>
    <w:p w14:paraId="026B15EC" w14:textId="77777777" w:rsidR="00E21C93" w:rsidRPr="00E21C93" w:rsidRDefault="00E21C93" w:rsidP="00E21C93">
      <w:r w:rsidRPr="00E21C93">
        <w:t>Here’s a summary of the turnover counts by termination reason and category:</w:t>
      </w:r>
    </w:p>
    <w:p w14:paraId="6134C145" w14:textId="77777777" w:rsidR="00E21C93" w:rsidRPr="00E21C93" w:rsidRDefault="00E21C93" w:rsidP="00E21C93">
      <w:r w:rsidRPr="00E21C93">
        <w:rPr>
          <w:b/>
          <w:bCs/>
        </w:rPr>
        <w:t>Overall Turnover Counts by Termination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9"/>
        <w:gridCol w:w="745"/>
      </w:tblGrid>
      <w:tr w:rsidR="00E21C93" w:rsidRPr="00E21C93" w14:paraId="6C4E57B5" w14:textId="77777777" w:rsidTr="00E21C93">
        <w:trPr>
          <w:tblHeader/>
          <w:tblCellSpacing w:w="15" w:type="dxa"/>
        </w:trPr>
        <w:tc>
          <w:tcPr>
            <w:tcW w:w="0" w:type="auto"/>
            <w:vAlign w:val="center"/>
            <w:hideMark/>
          </w:tcPr>
          <w:p w14:paraId="3FE7594C" w14:textId="77777777" w:rsidR="00E21C93" w:rsidRPr="00E21C93" w:rsidRDefault="00E21C93" w:rsidP="00E21C93">
            <w:pPr>
              <w:rPr>
                <w:b/>
                <w:bCs/>
              </w:rPr>
            </w:pPr>
            <w:r w:rsidRPr="00E21C93">
              <w:rPr>
                <w:b/>
                <w:bCs/>
              </w:rPr>
              <w:t>Termination Reason</w:t>
            </w:r>
          </w:p>
        </w:tc>
        <w:tc>
          <w:tcPr>
            <w:tcW w:w="0" w:type="auto"/>
            <w:vAlign w:val="center"/>
            <w:hideMark/>
          </w:tcPr>
          <w:p w14:paraId="2959924D" w14:textId="77777777" w:rsidR="00E21C93" w:rsidRPr="00E21C93" w:rsidRDefault="00E21C93" w:rsidP="00E21C93">
            <w:pPr>
              <w:rPr>
                <w:b/>
                <w:bCs/>
              </w:rPr>
            </w:pPr>
            <w:r w:rsidRPr="00E21C93">
              <w:rPr>
                <w:b/>
                <w:bCs/>
              </w:rPr>
              <w:t>Count</w:t>
            </w:r>
          </w:p>
        </w:tc>
      </w:tr>
      <w:tr w:rsidR="00E21C93" w:rsidRPr="00E21C93" w14:paraId="2F0254B8" w14:textId="77777777" w:rsidTr="00E21C93">
        <w:trPr>
          <w:tblCellSpacing w:w="15" w:type="dxa"/>
        </w:trPr>
        <w:tc>
          <w:tcPr>
            <w:tcW w:w="0" w:type="auto"/>
            <w:vAlign w:val="center"/>
            <w:hideMark/>
          </w:tcPr>
          <w:p w14:paraId="14879C63" w14:textId="77777777" w:rsidR="00E21C93" w:rsidRPr="00E21C93" w:rsidRDefault="00E21C93" w:rsidP="00E21C93">
            <w:r w:rsidRPr="00E21C93">
              <w:t>Death</w:t>
            </w:r>
          </w:p>
        </w:tc>
        <w:tc>
          <w:tcPr>
            <w:tcW w:w="0" w:type="auto"/>
            <w:vAlign w:val="center"/>
            <w:hideMark/>
          </w:tcPr>
          <w:p w14:paraId="31874F84" w14:textId="77777777" w:rsidR="00E21C93" w:rsidRPr="00E21C93" w:rsidRDefault="00E21C93" w:rsidP="00E21C93">
            <w:r w:rsidRPr="00E21C93">
              <w:t>38</w:t>
            </w:r>
          </w:p>
        </w:tc>
      </w:tr>
      <w:tr w:rsidR="00E21C93" w:rsidRPr="00E21C93" w14:paraId="777C2B5C" w14:textId="77777777" w:rsidTr="00E21C93">
        <w:trPr>
          <w:tblCellSpacing w:w="15" w:type="dxa"/>
        </w:trPr>
        <w:tc>
          <w:tcPr>
            <w:tcW w:w="0" w:type="auto"/>
            <w:vAlign w:val="center"/>
            <w:hideMark/>
          </w:tcPr>
          <w:p w14:paraId="0778E18D" w14:textId="77777777" w:rsidR="00E21C93" w:rsidRPr="00E21C93" w:rsidRDefault="00E21C93" w:rsidP="00E21C93">
            <w:r w:rsidRPr="00E21C93">
              <w:t>Involuntary</w:t>
            </w:r>
          </w:p>
        </w:tc>
        <w:tc>
          <w:tcPr>
            <w:tcW w:w="0" w:type="auto"/>
            <w:vAlign w:val="center"/>
            <w:hideMark/>
          </w:tcPr>
          <w:p w14:paraId="4371955F" w14:textId="77777777" w:rsidR="00E21C93" w:rsidRPr="00E21C93" w:rsidRDefault="00E21C93" w:rsidP="00E21C93">
            <w:r w:rsidRPr="00E21C93">
              <w:t>804</w:t>
            </w:r>
          </w:p>
        </w:tc>
      </w:tr>
      <w:tr w:rsidR="00E21C93" w:rsidRPr="00E21C93" w14:paraId="7E547FFD" w14:textId="77777777" w:rsidTr="00E21C93">
        <w:trPr>
          <w:tblCellSpacing w:w="15" w:type="dxa"/>
        </w:trPr>
        <w:tc>
          <w:tcPr>
            <w:tcW w:w="0" w:type="auto"/>
            <w:vAlign w:val="center"/>
            <w:hideMark/>
          </w:tcPr>
          <w:p w14:paraId="71985E0E" w14:textId="77777777" w:rsidR="00E21C93" w:rsidRPr="00E21C93" w:rsidRDefault="00E21C93" w:rsidP="00E21C93">
            <w:r w:rsidRPr="00E21C93">
              <w:t>Voluntary</w:t>
            </w:r>
          </w:p>
        </w:tc>
        <w:tc>
          <w:tcPr>
            <w:tcW w:w="0" w:type="auto"/>
            <w:vAlign w:val="center"/>
            <w:hideMark/>
          </w:tcPr>
          <w:p w14:paraId="7D5D4607" w14:textId="77777777" w:rsidR="00E21C93" w:rsidRPr="00E21C93" w:rsidRDefault="00E21C93" w:rsidP="00E21C93">
            <w:r w:rsidRPr="00E21C93">
              <w:t>532</w:t>
            </w:r>
          </w:p>
        </w:tc>
      </w:tr>
      <w:tr w:rsidR="00E21C93" w:rsidRPr="00E21C93" w14:paraId="424D1149" w14:textId="77777777" w:rsidTr="00E21C93">
        <w:trPr>
          <w:tblCellSpacing w:w="15" w:type="dxa"/>
        </w:trPr>
        <w:tc>
          <w:tcPr>
            <w:tcW w:w="0" w:type="auto"/>
            <w:vAlign w:val="center"/>
            <w:hideMark/>
          </w:tcPr>
          <w:p w14:paraId="0ABEFA16" w14:textId="77777777" w:rsidR="00E21C93" w:rsidRPr="00E21C93" w:rsidRDefault="00E21C93" w:rsidP="00E21C93">
            <w:r w:rsidRPr="00E21C93">
              <w:rPr>
                <w:b/>
                <w:bCs/>
              </w:rPr>
              <w:t>Grand Total</w:t>
            </w:r>
          </w:p>
        </w:tc>
        <w:tc>
          <w:tcPr>
            <w:tcW w:w="0" w:type="auto"/>
            <w:vAlign w:val="center"/>
            <w:hideMark/>
          </w:tcPr>
          <w:p w14:paraId="5B8CC421" w14:textId="77777777" w:rsidR="00E21C93" w:rsidRPr="00E21C93" w:rsidRDefault="00E21C93" w:rsidP="00E21C93">
            <w:r w:rsidRPr="00E21C93">
              <w:rPr>
                <w:b/>
                <w:bCs/>
              </w:rPr>
              <w:t>1940</w:t>
            </w:r>
          </w:p>
        </w:tc>
      </w:tr>
    </w:tbl>
    <w:p w14:paraId="219CFB8F" w14:textId="77777777" w:rsidR="00E21C93" w:rsidRPr="00E21C93" w:rsidRDefault="00E21C93" w:rsidP="00E21C93">
      <w:r w:rsidRPr="00E21C93">
        <w:rPr>
          <w:b/>
          <w:bCs/>
        </w:rPr>
        <w:t>Turnover Counts by Termination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745"/>
      </w:tblGrid>
      <w:tr w:rsidR="00E21C93" w:rsidRPr="00E21C93" w14:paraId="09037BC1" w14:textId="77777777" w:rsidTr="00E21C93">
        <w:trPr>
          <w:tblHeader/>
          <w:tblCellSpacing w:w="15" w:type="dxa"/>
        </w:trPr>
        <w:tc>
          <w:tcPr>
            <w:tcW w:w="0" w:type="auto"/>
            <w:vAlign w:val="center"/>
            <w:hideMark/>
          </w:tcPr>
          <w:p w14:paraId="1E6B4EDB" w14:textId="77777777" w:rsidR="00E21C93" w:rsidRPr="00E21C93" w:rsidRDefault="00E21C93" w:rsidP="00E21C93">
            <w:pPr>
              <w:rPr>
                <w:b/>
                <w:bCs/>
              </w:rPr>
            </w:pPr>
            <w:r w:rsidRPr="00E21C93">
              <w:rPr>
                <w:b/>
                <w:bCs/>
              </w:rPr>
              <w:t>Termination Category</w:t>
            </w:r>
          </w:p>
        </w:tc>
        <w:tc>
          <w:tcPr>
            <w:tcW w:w="0" w:type="auto"/>
            <w:vAlign w:val="center"/>
            <w:hideMark/>
          </w:tcPr>
          <w:p w14:paraId="15BCD9FD" w14:textId="77777777" w:rsidR="00E21C93" w:rsidRPr="00E21C93" w:rsidRDefault="00E21C93" w:rsidP="00E21C93">
            <w:pPr>
              <w:rPr>
                <w:b/>
                <w:bCs/>
              </w:rPr>
            </w:pPr>
            <w:r w:rsidRPr="00E21C93">
              <w:rPr>
                <w:b/>
                <w:bCs/>
              </w:rPr>
              <w:t>Count</w:t>
            </w:r>
          </w:p>
        </w:tc>
      </w:tr>
      <w:tr w:rsidR="00E21C93" w:rsidRPr="00E21C93" w14:paraId="3C77F8E1" w14:textId="77777777" w:rsidTr="00E21C93">
        <w:trPr>
          <w:tblCellSpacing w:w="15" w:type="dxa"/>
        </w:trPr>
        <w:tc>
          <w:tcPr>
            <w:tcW w:w="0" w:type="auto"/>
            <w:vAlign w:val="center"/>
            <w:hideMark/>
          </w:tcPr>
          <w:p w14:paraId="65AF6178" w14:textId="77777777" w:rsidR="00E21C93" w:rsidRPr="00E21C93" w:rsidRDefault="00E21C93" w:rsidP="00E21C93">
            <w:r w:rsidRPr="00E21C93">
              <w:t>Death</w:t>
            </w:r>
          </w:p>
        </w:tc>
        <w:tc>
          <w:tcPr>
            <w:tcW w:w="0" w:type="auto"/>
            <w:vAlign w:val="center"/>
            <w:hideMark/>
          </w:tcPr>
          <w:p w14:paraId="143B27F1" w14:textId="77777777" w:rsidR="00E21C93" w:rsidRPr="00E21C93" w:rsidRDefault="00E21C93" w:rsidP="00E21C93">
            <w:r w:rsidRPr="00E21C93">
              <w:t>38</w:t>
            </w:r>
          </w:p>
        </w:tc>
      </w:tr>
      <w:tr w:rsidR="00E21C93" w:rsidRPr="00E21C93" w14:paraId="44AA7739" w14:textId="77777777" w:rsidTr="00E21C93">
        <w:trPr>
          <w:tblCellSpacing w:w="15" w:type="dxa"/>
        </w:trPr>
        <w:tc>
          <w:tcPr>
            <w:tcW w:w="0" w:type="auto"/>
            <w:vAlign w:val="center"/>
            <w:hideMark/>
          </w:tcPr>
          <w:p w14:paraId="6193AFA5" w14:textId="77777777" w:rsidR="00E21C93" w:rsidRPr="00E21C93" w:rsidRDefault="00E21C93" w:rsidP="00E21C93">
            <w:r w:rsidRPr="00E21C93">
              <w:t>Dismissed - Misconduct</w:t>
            </w:r>
          </w:p>
        </w:tc>
        <w:tc>
          <w:tcPr>
            <w:tcW w:w="0" w:type="auto"/>
            <w:vAlign w:val="center"/>
            <w:hideMark/>
          </w:tcPr>
          <w:p w14:paraId="79C639F5" w14:textId="77777777" w:rsidR="00E21C93" w:rsidRPr="00E21C93" w:rsidRDefault="00E21C93" w:rsidP="00E21C93">
            <w:r w:rsidRPr="00E21C93">
              <w:t>17</w:t>
            </w:r>
          </w:p>
        </w:tc>
      </w:tr>
      <w:tr w:rsidR="00E21C93" w:rsidRPr="00E21C93" w14:paraId="628BCE71" w14:textId="77777777" w:rsidTr="00E21C93">
        <w:trPr>
          <w:tblCellSpacing w:w="15" w:type="dxa"/>
        </w:trPr>
        <w:tc>
          <w:tcPr>
            <w:tcW w:w="0" w:type="auto"/>
            <w:vAlign w:val="center"/>
            <w:hideMark/>
          </w:tcPr>
          <w:p w14:paraId="5AAC8BEA" w14:textId="77777777" w:rsidR="00E21C93" w:rsidRPr="00E21C93" w:rsidRDefault="00E21C93" w:rsidP="00E21C93">
            <w:r w:rsidRPr="00E21C93">
              <w:lastRenderedPageBreak/>
              <w:t>Dismissed - Poor Performance</w:t>
            </w:r>
          </w:p>
        </w:tc>
        <w:tc>
          <w:tcPr>
            <w:tcW w:w="0" w:type="auto"/>
            <w:vAlign w:val="center"/>
            <w:hideMark/>
          </w:tcPr>
          <w:p w14:paraId="2880716B" w14:textId="77777777" w:rsidR="00E21C93" w:rsidRPr="00E21C93" w:rsidRDefault="00E21C93" w:rsidP="00E21C93">
            <w:r w:rsidRPr="00E21C93">
              <w:t>15</w:t>
            </w:r>
          </w:p>
        </w:tc>
      </w:tr>
      <w:tr w:rsidR="00E21C93" w:rsidRPr="00E21C93" w14:paraId="78D60020" w14:textId="77777777" w:rsidTr="00E21C93">
        <w:trPr>
          <w:tblCellSpacing w:w="15" w:type="dxa"/>
        </w:trPr>
        <w:tc>
          <w:tcPr>
            <w:tcW w:w="0" w:type="auto"/>
            <w:vAlign w:val="center"/>
            <w:hideMark/>
          </w:tcPr>
          <w:p w14:paraId="287BA436" w14:textId="77777777" w:rsidR="00E21C93" w:rsidRPr="00E21C93" w:rsidRDefault="00E21C93" w:rsidP="00E21C93">
            <w:r w:rsidRPr="00E21C93">
              <w:t>Family Issues</w:t>
            </w:r>
          </w:p>
        </w:tc>
        <w:tc>
          <w:tcPr>
            <w:tcW w:w="0" w:type="auto"/>
            <w:vAlign w:val="center"/>
            <w:hideMark/>
          </w:tcPr>
          <w:p w14:paraId="2A577952" w14:textId="77777777" w:rsidR="00E21C93" w:rsidRPr="00E21C93" w:rsidRDefault="00E21C93" w:rsidP="00E21C93">
            <w:r w:rsidRPr="00E21C93">
              <w:t>134</w:t>
            </w:r>
          </w:p>
        </w:tc>
      </w:tr>
      <w:tr w:rsidR="00E21C93" w:rsidRPr="00E21C93" w14:paraId="17D4EC50" w14:textId="77777777" w:rsidTr="00E21C93">
        <w:trPr>
          <w:tblCellSpacing w:w="15" w:type="dxa"/>
        </w:trPr>
        <w:tc>
          <w:tcPr>
            <w:tcW w:w="0" w:type="auto"/>
            <w:vAlign w:val="center"/>
            <w:hideMark/>
          </w:tcPr>
          <w:p w14:paraId="44CFB473" w14:textId="77777777" w:rsidR="00E21C93" w:rsidRPr="00E21C93" w:rsidRDefault="00E21C93" w:rsidP="00E21C93">
            <w:r w:rsidRPr="00E21C93">
              <w:t>Health Reasons</w:t>
            </w:r>
          </w:p>
        </w:tc>
        <w:tc>
          <w:tcPr>
            <w:tcW w:w="0" w:type="auto"/>
            <w:vAlign w:val="center"/>
            <w:hideMark/>
          </w:tcPr>
          <w:p w14:paraId="6F4A7E1C" w14:textId="77777777" w:rsidR="00E21C93" w:rsidRPr="00E21C93" w:rsidRDefault="00E21C93" w:rsidP="00E21C93">
            <w:r w:rsidRPr="00E21C93">
              <w:t>35</w:t>
            </w:r>
          </w:p>
        </w:tc>
      </w:tr>
      <w:tr w:rsidR="00E21C93" w:rsidRPr="00E21C93" w14:paraId="5382A4D4" w14:textId="77777777" w:rsidTr="00E21C93">
        <w:trPr>
          <w:tblCellSpacing w:w="15" w:type="dxa"/>
        </w:trPr>
        <w:tc>
          <w:tcPr>
            <w:tcW w:w="0" w:type="auto"/>
            <w:vAlign w:val="center"/>
            <w:hideMark/>
          </w:tcPr>
          <w:p w14:paraId="5E7A815E" w14:textId="77777777" w:rsidR="00E21C93" w:rsidRPr="00E21C93" w:rsidRDefault="00E21C93" w:rsidP="00E21C93">
            <w:r w:rsidRPr="00E21C93">
              <w:t>Layoff</w:t>
            </w:r>
          </w:p>
        </w:tc>
        <w:tc>
          <w:tcPr>
            <w:tcW w:w="0" w:type="auto"/>
            <w:vAlign w:val="center"/>
            <w:hideMark/>
          </w:tcPr>
          <w:p w14:paraId="1CC1D7DB" w14:textId="77777777" w:rsidR="00E21C93" w:rsidRPr="00E21C93" w:rsidRDefault="00E21C93" w:rsidP="00E21C93">
            <w:r w:rsidRPr="00E21C93">
              <w:t>772</w:t>
            </w:r>
          </w:p>
        </w:tc>
      </w:tr>
      <w:tr w:rsidR="00E21C93" w:rsidRPr="00E21C93" w14:paraId="2B4070C1" w14:textId="77777777" w:rsidTr="00E21C93">
        <w:trPr>
          <w:tblCellSpacing w:w="15" w:type="dxa"/>
        </w:trPr>
        <w:tc>
          <w:tcPr>
            <w:tcW w:w="0" w:type="auto"/>
            <w:vAlign w:val="center"/>
            <w:hideMark/>
          </w:tcPr>
          <w:p w14:paraId="55FA42AA" w14:textId="77777777" w:rsidR="00E21C93" w:rsidRPr="00E21C93" w:rsidRDefault="00E21C93" w:rsidP="00E21C93">
            <w:r w:rsidRPr="00E21C93">
              <w:t>Resignation</w:t>
            </w:r>
          </w:p>
        </w:tc>
        <w:tc>
          <w:tcPr>
            <w:tcW w:w="0" w:type="auto"/>
            <w:vAlign w:val="center"/>
            <w:hideMark/>
          </w:tcPr>
          <w:p w14:paraId="7CDC51F0" w14:textId="77777777" w:rsidR="00E21C93" w:rsidRPr="00E21C93" w:rsidRDefault="00E21C93" w:rsidP="00E21C93">
            <w:r w:rsidRPr="00E21C93">
              <w:t>359</w:t>
            </w:r>
          </w:p>
        </w:tc>
      </w:tr>
      <w:tr w:rsidR="00E21C93" w:rsidRPr="00E21C93" w14:paraId="0B790303" w14:textId="77777777" w:rsidTr="00E21C93">
        <w:trPr>
          <w:tblCellSpacing w:w="15" w:type="dxa"/>
        </w:trPr>
        <w:tc>
          <w:tcPr>
            <w:tcW w:w="0" w:type="auto"/>
            <w:vAlign w:val="center"/>
            <w:hideMark/>
          </w:tcPr>
          <w:p w14:paraId="62326CA9" w14:textId="77777777" w:rsidR="00E21C93" w:rsidRPr="00E21C93" w:rsidRDefault="00E21C93" w:rsidP="00E21C93">
            <w:r w:rsidRPr="00E21C93">
              <w:t>Return to School</w:t>
            </w:r>
          </w:p>
        </w:tc>
        <w:tc>
          <w:tcPr>
            <w:tcW w:w="0" w:type="auto"/>
            <w:vAlign w:val="center"/>
            <w:hideMark/>
          </w:tcPr>
          <w:p w14:paraId="437F7359" w14:textId="77777777" w:rsidR="00E21C93" w:rsidRPr="00E21C93" w:rsidRDefault="00E21C93" w:rsidP="00E21C93">
            <w:r w:rsidRPr="00E21C93">
              <w:t>34</w:t>
            </w:r>
          </w:p>
        </w:tc>
      </w:tr>
      <w:tr w:rsidR="00E21C93" w:rsidRPr="00E21C93" w14:paraId="6301EF7F" w14:textId="77777777" w:rsidTr="00E21C93">
        <w:trPr>
          <w:tblCellSpacing w:w="15" w:type="dxa"/>
        </w:trPr>
        <w:tc>
          <w:tcPr>
            <w:tcW w:w="0" w:type="auto"/>
            <w:vAlign w:val="center"/>
            <w:hideMark/>
          </w:tcPr>
          <w:p w14:paraId="3C755039" w14:textId="77777777" w:rsidR="00E21C93" w:rsidRPr="00E21C93" w:rsidRDefault="00E21C93" w:rsidP="00E21C93">
            <w:r w:rsidRPr="00E21C93">
              <w:rPr>
                <w:b/>
                <w:bCs/>
              </w:rPr>
              <w:t>Grand Total</w:t>
            </w:r>
          </w:p>
        </w:tc>
        <w:tc>
          <w:tcPr>
            <w:tcW w:w="0" w:type="auto"/>
            <w:vAlign w:val="center"/>
            <w:hideMark/>
          </w:tcPr>
          <w:p w14:paraId="7B937524" w14:textId="77777777" w:rsidR="00E21C93" w:rsidRPr="00E21C93" w:rsidRDefault="00E21C93" w:rsidP="00E21C93">
            <w:r w:rsidRPr="00E21C93">
              <w:rPr>
                <w:b/>
                <w:bCs/>
              </w:rPr>
              <w:t>1404</w:t>
            </w:r>
          </w:p>
        </w:tc>
      </w:tr>
    </w:tbl>
    <w:p w14:paraId="5C4DB9EB" w14:textId="77777777" w:rsidR="00E21C93" w:rsidRPr="00E21C93" w:rsidRDefault="00E21C93" w:rsidP="00E21C93">
      <w:pPr>
        <w:rPr>
          <w:b/>
          <w:bCs/>
        </w:rPr>
      </w:pPr>
      <w:r w:rsidRPr="00E21C93">
        <w:rPr>
          <w:b/>
          <w:bCs/>
        </w:rPr>
        <w:t>2. Analysis by Occupation</w:t>
      </w:r>
    </w:p>
    <w:p w14:paraId="2CE263F5" w14:textId="77777777" w:rsidR="00E21C93" w:rsidRPr="00E21C93" w:rsidRDefault="00E21C93" w:rsidP="00E21C93">
      <w:r w:rsidRPr="00E21C93">
        <w:rPr>
          <w:b/>
          <w:bCs/>
        </w:rPr>
        <w:t>Occupation-specific Turnover by Termination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719"/>
        <w:gridCol w:w="1300"/>
        <w:gridCol w:w="1112"/>
        <w:gridCol w:w="604"/>
      </w:tblGrid>
      <w:tr w:rsidR="00E21C93" w:rsidRPr="00E21C93" w14:paraId="4833CC57" w14:textId="77777777" w:rsidTr="00E21C93">
        <w:trPr>
          <w:tblHeader/>
          <w:tblCellSpacing w:w="15" w:type="dxa"/>
        </w:trPr>
        <w:tc>
          <w:tcPr>
            <w:tcW w:w="0" w:type="auto"/>
            <w:vAlign w:val="center"/>
            <w:hideMark/>
          </w:tcPr>
          <w:p w14:paraId="042183F3" w14:textId="77777777" w:rsidR="00E21C93" w:rsidRPr="00E21C93" w:rsidRDefault="00E21C93" w:rsidP="00E21C93">
            <w:pPr>
              <w:rPr>
                <w:b/>
                <w:bCs/>
              </w:rPr>
            </w:pPr>
            <w:r w:rsidRPr="00E21C93">
              <w:rPr>
                <w:b/>
                <w:bCs/>
              </w:rPr>
              <w:t>Occupation</w:t>
            </w:r>
          </w:p>
        </w:tc>
        <w:tc>
          <w:tcPr>
            <w:tcW w:w="0" w:type="auto"/>
            <w:vAlign w:val="center"/>
            <w:hideMark/>
          </w:tcPr>
          <w:p w14:paraId="14CFC1DE" w14:textId="77777777" w:rsidR="00E21C93" w:rsidRPr="00E21C93" w:rsidRDefault="00E21C93" w:rsidP="00E21C93">
            <w:pPr>
              <w:rPr>
                <w:b/>
                <w:bCs/>
              </w:rPr>
            </w:pPr>
            <w:r w:rsidRPr="00E21C93">
              <w:rPr>
                <w:b/>
                <w:bCs/>
              </w:rPr>
              <w:t>Death</w:t>
            </w:r>
          </w:p>
        </w:tc>
        <w:tc>
          <w:tcPr>
            <w:tcW w:w="0" w:type="auto"/>
            <w:vAlign w:val="center"/>
            <w:hideMark/>
          </w:tcPr>
          <w:p w14:paraId="014D2B28" w14:textId="77777777" w:rsidR="00E21C93" w:rsidRPr="00E21C93" w:rsidRDefault="00E21C93" w:rsidP="00E21C93">
            <w:pPr>
              <w:rPr>
                <w:b/>
                <w:bCs/>
              </w:rPr>
            </w:pPr>
            <w:r w:rsidRPr="00E21C93">
              <w:rPr>
                <w:b/>
                <w:bCs/>
              </w:rPr>
              <w:t>Involuntary</w:t>
            </w:r>
          </w:p>
        </w:tc>
        <w:tc>
          <w:tcPr>
            <w:tcW w:w="0" w:type="auto"/>
            <w:vAlign w:val="center"/>
            <w:hideMark/>
          </w:tcPr>
          <w:p w14:paraId="087D5847" w14:textId="77777777" w:rsidR="00E21C93" w:rsidRPr="00E21C93" w:rsidRDefault="00E21C93" w:rsidP="00E21C93">
            <w:pPr>
              <w:rPr>
                <w:b/>
                <w:bCs/>
              </w:rPr>
            </w:pPr>
            <w:r w:rsidRPr="00E21C93">
              <w:rPr>
                <w:b/>
                <w:bCs/>
              </w:rPr>
              <w:t>Voluntary</w:t>
            </w:r>
          </w:p>
        </w:tc>
        <w:tc>
          <w:tcPr>
            <w:tcW w:w="0" w:type="auto"/>
            <w:vAlign w:val="center"/>
            <w:hideMark/>
          </w:tcPr>
          <w:p w14:paraId="4BB05EDB" w14:textId="77777777" w:rsidR="00E21C93" w:rsidRPr="00E21C93" w:rsidRDefault="00E21C93" w:rsidP="00E21C93">
            <w:pPr>
              <w:rPr>
                <w:b/>
                <w:bCs/>
              </w:rPr>
            </w:pPr>
            <w:r w:rsidRPr="00E21C93">
              <w:rPr>
                <w:b/>
                <w:bCs/>
              </w:rPr>
              <w:t>Total</w:t>
            </w:r>
          </w:p>
        </w:tc>
      </w:tr>
      <w:tr w:rsidR="00E21C93" w:rsidRPr="00E21C93" w14:paraId="03843C21" w14:textId="77777777" w:rsidTr="00E21C93">
        <w:trPr>
          <w:tblCellSpacing w:w="15" w:type="dxa"/>
        </w:trPr>
        <w:tc>
          <w:tcPr>
            <w:tcW w:w="0" w:type="auto"/>
            <w:vAlign w:val="center"/>
            <w:hideMark/>
          </w:tcPr>
          <w:p w14:paraId="0633007F" w14:textId="77777777" w:rsidR="00E21C93" w:rsidRPr="00E21C93" w:rsidRDefault="00E21C93" w:rsidP="00E21C93">
            <w:r w:rsidRPr="00E21C93">
              <w:t>Accounting</w:t>
            </w:r>
          </w:p>
        </w:tc>
        <w:tc>
          <w:tcPr>
            <w:tcW w:w="0" w:type="auto"/>
            <w:vAlign w:val="center"/>
            <w:hideMark/>
          </w:tcPr>
          <w:p w14:paraId="6DA6C846" w14:textId="77777777" w:rsidR="00E21C93" w:rsidRPr="00E21C93" w:rsidRDefault="00E21C93" w:rsidP="00E21C93">
            <w:r w:rsidRPr="00E21C93">
              <w:t>3</w:t>
            </w:r>
          </w:p>
        </w:tc>
        <w:tc>
          <w:tcPr>
            <w:tcW w:w="0" w:type="auto"/>
            <w:vAlign w:val="center"/>
            <w:hideMark/>
          </w:tcPr>
          <w:p w14:paraId="325E11DA" w14:textId="77777777" w:rsidR="00E21C93" w:rsidRPr="00E21C93" w:rsidRDefault="00E21C93" w:rsidP="00E21C93">
            <w:r w:rsidRPr="00E21C93">
              <w:t>36</w:t>
            </w:r>
          </w:p>
        </w:tc>
        <w:tc>
          <w:tcPr>
            <w:tcW w:w="0" w:type="auto"/>
            <w:vAlign w:val="center"/>
            <w:hideMark/>
          </w:tcPr>
          <w:p w14:paraId="5DDFABBD" w14:textId="77777777" w:rsidR="00E21C93" w:rsidRPr="00E21C93" w:rsidRDefault="00E21C93" w:rsidP="00E21C93">
            <w:r w:rsidRPr="00E21C93">
              <w:t>39</w:t>
            </w:r>
          </w:p>
        </w:tc>
        <w:tc>
          <w:tcPr>
            <w:tcW w:w="0" w:type="auto"/>
            <w:vAlign w:val="center"/>
            <w:hideMark/>
          </w:tcPr>
          <w:p w14:paraId="68CC5FCD" w14:textId="77777777" w:rsidR="00E21C93" w:rsidRPr="00E21C93" w:rsidRDefault="00E21C93" w:rsidP="00E21C93">
            <w:r w:rsidRPr="00E21C93">
              <w:t>123</w:t>
            </w:r>
          </w:p>
        </w:tc>
      </w:tr>
      <w:tr w:rsidR="00E21C93" w:rsidRPr="00E21C93" w14:paraId="7207E97F" w14:textId="77777777" w:rsidTr="00E21C93">
        <w:trPr>
          <w:tblCellSpacing w:w="15" w:type="dxa"/>
        </w:trPr>
        <w:tc>
          <w:tcPr>
            <w:tcW w:w="0" w:type="auto"/>
            <w:vAlign w:val="center"/>
            <w:hideMark/>
          </w:tcPr>
          <w:p w14:paraId="03036CBF" w14:textId="77777777" w:rsidR="00E21C93" w:rsidRPr="00E21C93" w:rsidRDefault="00E21C93" w:rsidP="00E21C93">
            <w:r w:rsidRPr="00E21C93">
              <w:t>Analysts</w:t>
            </w:r>
          </w:p>
        </w:tc>
        <w:tc>
          <w:tcPr>
            <w:tcW w:w="0" w:type="auto"/>
            <w:vAlign w:val="center"/>
            <w:hideMark/>
          </w:tcPr>
          <w:p w14:paraId="356F9C0D" w14:textId="77777777" w:rsidR="00E21C93" w:rsidRPr="00E21C93" w:rsidRDefault="00E21C93" w:rsidP="00E21C93">
            <w:r w:rsidRPr="00E21C93">
              <w:t>1</w:t>
            </w:r>
          </w:p>
        </w:tc>
        <w:tc>
          <w:tcPr>
            <w:tcW w:w="0" w:type="auto"/>
            <w:vAlign w:val="center"/>
            <w:hideMark/>
          </w:tcPr>
          <w:p w14:paraId="15C26F33" w14:textId="77777777" w:rsidR="00E21C93" w:rsidRPr="00E21C93" w:rsidRDefault="00E21C93" w:rsidP="00E21C93">
            <w:r w:rsidRPr="00E21C93">
              <w:t>10</w:t>
            </w:r>
          </w:p>
        </w:tc>
        <w:tc>
          <w:tcPr>
            <w:tcW w:w="0" w:type="auto"/>
            <w:vAlign w:val="center"/>
            <w:hideMark/>
          </w:tcPr>
          <w:p w14:paraId="5F30C527" w14:textId="77777777" w:rsidR="00E21C93" w:rsidRPr="00E21C93" w:rsidRDefault="00E21C93" w:rsidP="00E21C93">
            <w:r w:rsidRPr="00E21C93">
              <w:t>11</w:t>
            </w:r>
          </w:p>
        </w:tc>
        <w:tc>
          <w:tcPr>
            <w:tcW w:w="0" w:type="auto"/>
            <w:vAlign w:val="center"/>
            <w:hideMark/>
          </w:tcPr>
          <w:p w14:paraId="6D0849E6" w14:textId="77777777" w:rsidR="00E21C93" w:rsidRPr="00E21C93" w:rsidRDefault="00E21C93" w:rsidP="00E21C93">
            <w:r w:rsidRPr="00E21C93">
              <w:t>22</w:t>
            </w:r>
          </w:p>
        </w:tc>
      </w:tr>
      <w:tr w:rsidR="00E21C93" w:rsidRPr="00E21C93" w14:paraId="2B8E46DE" w14:textId="77777777" w:rsidTr="00E21C93">
        <w:trPr>
          <w:tblCellSpacing w:w="15" w:type="dxa"/>
        </w:trPr>
        <w:tc>
          <w:tcPr>
            <w:tcW w:w="0" w:type="auto"/>
            <w:vAlign w:val="center"/>
            <w:hideMark/>
          </w:tcPr>
          <w:p w14:paraId="3495B163" w14:textId="77777777" w:rsidR="00E21C93" w:rsidRPr="00E21C93" w:rsidRDefault="00E21C93" w:rsidP="00E21C93">
            <w:r w:rsidRPr="00E21C93">
              <w:t>Business Development</w:t>
            </w:r>
          </w:p>
        </w:tc>
        <w:tc>
          <w:tcPr>
            <w:tcW w:w="0" w:type="auto"/>
            <w:vAlign w:val="center"/>
            <w:hideMark/>
          </w:tcPr>
          <w:p w14:paraId="6DC2ED5E" w14:textId="77777777" w:rsidR="00E21C93" w:rsidRPr="00E21C93" w:rsidRDefault="00E21C93" w:rsidP="00E21C93">
            <w:r w:rsidRPr="00E21C93">
              <w:t>1</w:t>
            </w:r>
          </w:p>
        </w:tc>
        <w:tc>
          <w:tcPr>
            <w:tcW w:w="0" w:type="auto"/>
            <w:vAlign w:val="center"/>
            <w:hideMark/>
          </w:tcPr>
          <w:p w14:paraId="6A191726" w14:textId="77777777" w:rsidR="00E21C93" w:rsidRPr="00E21C93" w:rsidRDefault="00E21C93" w:rsidP="00E21C93">
            <w:r w:rsidRPr="00E21C93">
              <w:t>119</w:t>
            </w:r>
          </w:p>
        </w:tc>
        <w:tc>
          <w:tcPr>
            <w:tcW w:w="0" w:type="auto"/>
            <w:vAlign w:val="center"/>
            <w:hideMark/>
          </w:tcPr>
          <w:p w14:paraId="5F99EB23" w14:textId="77777777" w:rsidR="00E21C93" w:rsidRPr="00E21C93" w:rsidRDefault="00E21C93" w:rsidP="00E21C93">
            <w:r w:rsidRPr="00E21C93">
              <w:t>10</w:t>
            </w:r>
          </w:p>
        </w:tc>
        <w:tc>
          <w:tcPr>
            <w:tcW w:w="0" w:type="auto"/>
            <w:vAlign w:val="center"/>
            <w:hideMark/>
          </w:tcPr>
          <w:p w14:paraId="2EDE91DB" w14:textId="77777777" w:rsidR="00E21C93" w:rsidRPr="00E21C93" w:rsidRDefault="00E21C93" w:rsidP="00E21C93">
            <w:r w:rsidRPr="00E21C93">
              <w:t>130</w:t>
            </w:r>
          </w:p>
        </w:tc>
      </w:tr>
      <w:tr w:rsidR="00E21C93" w:rsidRPr="00E21C93" w14:paraId="4892E610" w14:textId="77777777" w:rsidTr="00E21C93">
        <w:trPr>
          <w:tblCellSpacing w:w="15" w:type="dxa"/>
        </w:trPr>
        <w:tc>
          <w:tcPr>
            <w:tcW w:w="0" w:type="auto"/>
            <w:vAlign w:val="center"/>
            <w:hideMark/>
          </w:tcPr>
          <w:p w14:paraId="0C4170FE" w14:textId="77777777" w:rsidR="00E21C93" w:rsidRPr="00E21C93" w:rsidRDefault="00E21C93" w:rsidP="00E21C93">
            <w:r w:rsidRPr="00E21C93">
              <w:t>Clerks/Assistants</w:t>
            </w:r>
          </w:p>
        </w:tc>
        <w:tc>
          <w:tcPr>
            <w:tcW w:w="0" w:type="auto"/>
            <w:vAlign w:val="center"/>
            <w:hideMark/>
          </w:tcPr>
          <w:p w14:paraId="4598788B" w14:textId="77777777" w:rsidR="00E21C93" w:rsidRPr="00E21C93" w:rsidRDefault="00E21C93" w:rsidP="00E21C93">
            <w:r w:rsidRPr="00E21C93">
              <w:t>1</w:t>
            </w:r>
          </w:p>
        </w:tc>
        <w:tc>
          <w:tcPr>
            <w:tcW w:w="0" w:type="auto"/>
            <w:vAlign w:val="center"/>
            <w:hideMark/>
          </w:tcPr>
          <w:p w14:paraId="05555626" w14:textId="77777777" w:rsidR="00E21C93" w:rsidRPr="00E21C93" w:rsidRDefault="00E21C93" w:rsidP="00E21C93">
            <w:r w:rsidRPr="00E21C93">
              <w:t>341</w:t>
            </w:r>
          </w:p>
        </w:tc>
        <w:tc>
          <w:tcPr>
            <w:tcW w:w="0" w:type="auto"/>
            <w:vAlign w:val="center"/>
            <w:hideMark/>
          </w:tcPr>
          <w:p w14:paraId="35D6A7A1" w14:textId="77777777" w:rsidR="00E21C93" w:rsidRPr="00E21C93" w:rsidRDefault="00E21C93" w:rsidP="00E21C93">
            <w:r w:rsidRPr="00E21C93">
              <w:t>63</w:t>
            </w:r>
          </w:p>
        </w:tc>
        <w:tc>
          <w:tcPr>
            <w:tcW w:w="0" w:type="auto"/>
            <w:vAlign w:val="center"/>
            <w:hideMark/>
          </w:tcPr>
          <w:p w14:paraId="06E98B55" w14:textId="77777777" w:rsidR="00E21C93" w:rsidRPr="00E21C93" w:rsidRDefault="00E21C93" w:rsidP="00E21C93">
            <w:r w:rsidRPr="00E21C93">
              <w:t>405</w:t>
            </w:r>
          </w:p>
        </w:tc>
      </w:tr>
      <w:tr w:rsidR="00E21C93" w:rsidRPr="00E21C93" w14:paraId="64E324D9" w14:textId="77777777" w:rsidTr="00E21C93">
        <w:trPr>
          <w:tblCellSpacing w:w="15" w:type="dxa"/>
        </w:trPr>
        <w:tc>
          <w:tcPr>
            <w:tcW w:w="0" w:type="auto"/>
            <w:vAlign w:val="center"/>
            <w:hideMark/>
          </w:tcPr>
          <w:p w14:paraId="4690D7C4" w14:textId="77777777" w:rsidR="00E21C93" w:rsidRPr="00E21C93" w:rsidRDefault="00E21C93" w:rsidP="00E21C93">
            <w:r w:rsidRPr="00E21C93">
              <w:t>Drafter</w:t>
            </w:r>
          </w:p>
        </w:tc>
        <w:tc>
          <w:tcPr>
            <w:tcW w:w="0" w:type="auto"/>
            <w:vAlign w:val="center"/>
            <w:hideMark/>
          </w:tcPr>
          <w:p w14:paraId="3DB25FE2" w14:textId="77777777" w:rsidR="00E21C93" w:rsidRPr="00E21C93" w:rsidRDefault="00E21C93" w:rsidP="00E21C93">
            <w:r w:rsidRPr="00E21C93">
              <w:t>2</w:t>
            </w:r>
          </w:p>
        </w:tc>
        <w:tc>
          <w:tcPr>
            <w:tcW w:w="0" w:type="auto"/>
            <w:vAlign w:val="center"/>
            <w:hideMark/>
          </w:tcPr>
          <w:p w14:paraId="7F15273B" w14:textId="77777777" w:rsidR="00E21C93" w:rsidRPr="00E21C93" w:rsidRDefault="00E21C93" w:rsidP="00E21C93">
            <w:r w:rsidRPr="00E21C93">
              <w:t>80</w:t>
            </w:r>
          </w:p>
        </w:tc>
        <w:tc>
          <w:tcPr>
            <w:tcW w:w="0" w:type="auto"/>
            <w:vAlign w:val="center"/>
            <w:hideMark/>
          </w:tcPr>
          <w:p w14:paraId="698F033C" w14:textId="77777777" w:rsidR="00E21C93" w:rsidRPr="00E21C93" w:rsidRDefault="00E21C93" w:rsidP="00E21C93">
            <w:r w:rsidRPr="00E21C93">
              <w:t>71</w:t>
            </w:r>
          </w:p>
        </w:tc>
        <w:tc>
          <w:tcPr>
            <w:tcW w:w="0" w:type="auto"/>
            <w:vAlign w:val="center"/>
            <w:hideMark/>
          </w:tcPr>
          <w:p w14:paraId="2E7BF7EE" w14:textId="77777777" w:rsidR="00E21C93" w:rsidRPr="00E21C93" w:rsidRDefault="00E21C93" w:rsidP="00E21C93">
            <w:r w:rsidRPr="00E21C93">
              <w:t>153</w:t>
            </w:r>
          </w:p>
        </w:tc>
      </w:tr>
      <w:tr w:rsidR="00E21C93" w:rsidRPr="00E21C93" w14:paraId="1F1D3A22" w14:textId="77777777" w:rsidTr="00E21C93">
        <w:trPr>
          <w:tblCellSpacing w:w="15" w:type="dxa"/>
        </w:trPr>
        <w:tc>
          <w:tcPr>
            <w:tcW w:w="0" w:type="auto"/>
            <w:vAlign w:val="center"/>
            <w:hideMark/>
          </w:tcPr>
          <w:p w14:paraId="79098C4B" w14:textId="77777777" w:rsidR="00E21C93" w:rsidRPr="00E21C93" w:rsidRDefault="00E21C93" w:rsidP="00E21C93">
            <w:r w:rsidRPr="00E21C93">
              <w:t>Engineer</w:t>
            </w:r>
          </w:p>
        </w:tc>
        <w:tc>
          <w:tcPr>
            <w:tcW w:w="0" w:type="auto"/>
            <w:vAlign w:val="center"/>
            <w:hideMark/>
          </w:tcPr>
          <w:p w14:paraId="7E5815EC" w14:textId="77777777" w:rsidR="00E21C93" w:rsidRPr="00E21C93" w:rsidRDefault="00E21C93" w:rsidP="00E21C93">
            <w:r w:rsidRPr="00E21C93">
              <w:t>12</w:t>
            </w:r>
          </w:p>
        </w:tc>
        <w:tc>
          <w:tcPr>
            <w:tcW w:w="0" w:type="auto"/>
            <w:vAlign w:val="center"/>
            <w:hideMark/>
          </w:tcPr>
          <w:p w14:paraId="144E0888" w14:textId="77777777" w:rsidR="00E21C93" w:rsidRPr="00E21C93" w:rsidRDefault="00E21C93" w:rsidP="00E21C93">
            <w:r w:rsidRPr="00E21C93">
              <w:t>40</w:t>
            </w:r>
          </w:p>
        </w:tc>
        <w:tc>
          <w:tcPr>
            <w:tcW w:w="0" w:type="auto"/>
            <w:vAlign w:val="center"/>
            <w:hideMark/>
          </w:tcPr>
          <w:p w14:paraId="10A9FE62" w14:textId="77777777" w:rsidR="00E21C93" w:rsidRPr="00E21C93" w:rsidRDefault="00E21C93" w:rsidP="00E21C93">
            <w:r w:rsidRPr="00E21C93">
              <w:t>116</w:t>
            </w:r>
          </w:p>
        </w:tc>
        <w:tc>
          <w:tcPr>
            <w:tcW w:w="0" w:type="auto"/>
            <w:vAlign w:val="center"/>
            <w:hideMark/>
          </w:tcPr>
          <w:p w14:paraId="6490B92F" w14:textId="77777777" w:rsidR="00E21C93" w:rsidRPr="00E21C93" w:rsidRDefault="00E21C93" w:rsidP="00E21C93">
            <w:r w:rsidRPr="00E21C93">
              <w:t>168</w:t>
            </w:r>
          </w:p>
        </w:tc>
      </w:tr>
      <w:tr w:rsidR="00E21C93" w:rsidRPr="00E21C93" w14:paraId="06257285" w14:textId="77777777" w:rsidTr="00E21C93">
        <w:trPr>
          <w:tblCellSpacing w:w="15" w:type="dxa"/>
        </w:trPr>
        <w:tc>
          <w:tcPr>
            <w:tcW w:w="0" w:type="auto"/>
            <w:vAlign w:val="center"/>
            <w:hideMark/>
          </w:tcPr>
          <w:p w14:paraId="3F4C0012" w14:textId="77777777" w:rsidR="00E21C93" w:rsidRPr="00E21C93" w:rsidRDefault="00E21C93" w:rsidP="00E21C93">
            <w:r w:rsidRPr="00E21C93">
              <w:t>HR</w:t>
            </w:r>
          </w:p>
        </w:tc>
        <w:tc>
          <w:tcPr>
            <w:tcW w:w="0" w:type="auto"/>
            <w:vAlign w:val="center"/>
            <w:hideMark/>
          </w:tcPr>
          <w:p w14:paraId="61AB8495" w14:textId="77777777" w:rsidR="00E21C93" w:rsidRPr="00E21C93" w:rsidRDefault="00E21C93" w:rsidP="00E21C93">
            <w:r w:rsidRPr="00E21C93">
              <w:t>2</w:t>
            </w:r>
          </w:p>
        </w:tc>
        <w:tc>
          <w:tcPr>
            <w:tcW w:w="0" w:type="auto"/>
            <w:vAlign w:val="center"/>
            <w:hideMark/>
          </w:tcPr>
          <w:p w14:paraId="0C0A445D" w14:textId="77777777" w:rsidR="00E21C93" w:rsidRPr="00E21C93" w:rsidRDefault="00E21C93" w:rsidP="00E21C93">
            <w:r w:rsidRPr="00E21C93">
              <w:t>6</w:t>
            </w:r>
          </w:p>
        </w:tc>
        <w:tc>
          <w:tcPr>
            <w:tcW w:w="0" w:type="auto"/>
            <w:vAlign w:val="center"/>
            <w:hideMark/>
          </w:tcPr>
          <w:p w14:paraId="00ED5D69" w14:textId="77777777" w:rsidR="00E21C93" w:rsidRPr="00E21C93" w:rsidRDefault="00E21C93" w:rsidP="00E21C93">
            <w:r w:rsidRPr="00E21C93">
              <w:t>7</w:t>
            </w:r>
          </w:p>
        </w:tc>
        <w:tc>
          <w:tcPr>
            <w:tcW w:w="0" w:type="auto"/>
            <w:vAlign w:val="center"/>
            <w:hideMark/>
          </w:tcPr>
          <w:p w14:paraId="2D252C69" w14:textId="77777777" w:rsidR="00E21C93" w:rsidRPr="00E21C93" w:rsidRDefault="00E21C93" w:rsidP="00E21C93">
            <w:r w:rsidRPr="00E21C93">
              <w:t>15</w:t>
            </w:r>
          </w:p>
        </w:tc>
      </w:tr>
      <w:tr w:rsidR="00E21C93" w:rsidRPr="00E21C93" w14:paraId="30F30F39" w14:textId="77777777" w:rsidTr="00E21C93">
        <w:trPr>
          <w:tblCellSpacing w:w="15" w:type="dxa"/>
        </w:trPr>
        <w:tc>
          <w:tcPr>
            <w:tcW w:w="0" w:type="auto"/>
            <w:vAlign w:val="center"/>
            <w:hideMark/>
          </w:tcPr>
          <w:p w14:paraId="65A70409" w14:textId="77777777" w:rsidR="00E21C93" w:rsidRPr="00E21C93" w:rsidRDefault="00E21C93" w:rsidP="00E21C93">
            <w:r w:rsidRPr="00E21C93">
              <w:t>IT</w:t>
            </w:r>
          </w:p>
        </w:tc>
        <w:tc>
          <w:tcPr>
            <w:tcW w:w="0" w:type="auto"/>
            <w:vAlign w:val="center"/>
            <w:hideMark/>
          </w:tcPr>
          <w:p w14:paraId="5352B9CD" w14:textId="77777777" w:rsidR="00E21C93" w:rsidRPr="00E21C93" w:rsidRDefault="00E21C93" w:rsidP="00E21C93">
            <w:r w:rsidRPr="00E21C93">
              <w:t>0</w:t>
            </w:r>
          </w:p>
        </w:tc>
        <w:tc>
          <w:tcPr>
            <w:tcW w:w="0" w:type="auto"/>
            <w:vAlign w:val="center"/>
            <w:hideMark/>
          </w:tcPr>
          <w:p w14:paraId="27AEDE9E" w14:textId="77777777" w:rsidR="00E21C93" w:rsidRPr="00E21C93" w:rsidRDefault="00E21C93" w:rsidP="00E21C93">
            <w:r w:rsidRPr="00E21C93">
              <w:t>11</w:t>
            </w:r>
          </w:p>
        </w:tc>
        <w:tc>
          <w:tcPr>
            <w:tcW w:w="0" w:type="auto"/>
            <w:vAlign w:val="center"/>
            <w:hideMark/>
          </w:tcPr>
          <w:p w14:paraId="7A9F1183" w14:textId="77777777" w:rsidR="00E21C93" w:rsidRPr="00E21C93" w:rsidRDefault="00E21C93" w:rsidP="00E21C93">
            <w:r w:rsidRPr="00E21C93">
              <w:t>11</w:t>
            </w:r>
          </w:p>
        </w:tc>
        <w:tc>
          <w:tcPr>
            <w:tcW w:w="0" w:type="auto"/>
            <w:vAlign w:val="center"/>
            <w:hideMark/>
          </w:tcPr>
          <w:p w14:paraId="436FBEAF" w14:textId="77777777" w:rsidR="00E21C93" w:rsidRPr="00E21C93" w:rsidRDefault="00E21C93" w:rsidP="00E21C93">
            <w:r w:rsidRPr="00E21C93">
              <w:t>22</w:t>
            </w:r>
          </w:p>
        </w:tc>
      </w:tr>
      <w:tr w:rsidR="00E21C93" w:rsidRPr="00E21C93" w14:paraId="448EDECB" w14:textId="77777777" w:rsidTr="00E21C93">
        <w:trPr>
          <w:tblCellSpacing w:w="15" w:type="dxa"/>
        </w:trPr>
        <w:tc>
          <w:tcPr>
            <w:tcW w:w="0" w:type="auto"/>
            <w:vAlign w:val="center"/>
            <w:hideMark/>
          </w:tcPr>
          <w:p w14:paraId="779BDAC4" w14:textId="77777777" w:rsidR="00E21C93" w:rsidRPr="00E21C93" w:rsidRDefault="00E21C93" w:rsidP="00E21C93">
            <w:r w:rsidRPr="00E21C93">
              <w:t>Legal</w:t>
            </w:r>
          </w:p>
        </w:tc>
        <w:tc>
          <w:tcPr>
            <w:tcW w:w="0" w:type="auto"/>
            <w:vAlign w:val="center"/>
            <w:hideMark/>
          </w:tcPr>
          <w:p w14:paraId="312481F9" w14:textId="77777777" w:rsidR="00E21C93" w:rsidRPr="00E21C93" w:rsidRDefault="00E21C93" w:rsidP="00E21C93">
            <w:r w:rsidRPr="00E21C93">
              <w:t>2</w:t>
            </w:r>
          </w:p>
        </w:tc>
        <w:tc>
          <w:tcPr>
            <w:tcW w:w="0" w:type="auto"/>
            <w:vAlign w:val="center"/>
            <w:hideMark/>
          </w:tcPr>
          <w:p w14:paraId="609AEF2B" w14:textId="77777777" w:rsidR="00E21C93" w:rsidRPr="00E21C93" w:rsidRDefault="00E21C93" w:rsidP="00E21C93">
            <w:r w:rsidRPr="00E21C93">
              <w:t>11</w:t>
            </w:r>
          </w:p>
        </w:tc>
        <w:tc>
          <w:tcPr>
            <w:tcW w:w="0" w:type="auto"/>
            <w:vAlign w:val="center"/>
            <w:hideMark/>
          </w:tcPr>
          <w:p w14:paraId="32D629ED" w14:textId="77777777" w:rsidR="00E21C93" w:rsidRPr="00E21C93" w:rsidRDefault="00E21C93" w:rsidP="00E21C93">
            <w:r w:rsidRPr="00E21C93">
              <w:t>5</w:t>
            </w:r>
          </w:p>
        </w:tc>
        <w:tc>
          <w:tcPr>
            <w:tcW w:w="0" w:type="auto"/>
            <w:vAlign w:val="center"/>
            <w:hideMark/>
          </w:tcPr>
          <w:p w14:paraId="5D1332C0" w14:textId="77777777" w:rsidR="00E21C93" w:rsidRPr="00E21C93" w:rsidRDefault="00E21C93" w:rsidP="00E21C93">
            <w:r w:rsidRPr="00E21C93">
              <w:t>18</w:t>
            </w:r>
          </w:p>
        </w:tc>
      </w:tr>
      <w:tr w:rsidR="00E21C93" w:rsidRPr="00E21C93" w14:paraId="00F2D3B5" w14:textId="77777777" w:rsidTr="00E21C93">
        <w:trPr>
          <w:tblCellSpacing w:w="15" w:type="dxa"/>
        </w:trPr>
        <w:tc>
          <w:tcPr>
            <w:tcW w:w="0" w:type="auto"/>
            <w:vAlign w:val="center"/>
            <w:hideMark/>
          </w:tcPr>
          <w:p w14:paraId="3805F2EE" w14:textId="77777777" w:rsidR="00E21C93" w:rsidRPr="00E21C93" w:rsidRDefault="00E21C93" w:rsidP="00E21C93">
            <w:r w:rsidRPr="00E21C93">
              <w:t>Logistics</w:t>
            </w:r>
          </w:p>
        </w:tc>
        <w:tc>
          <w:tcPr>
            <w:tcW w:w="0" w:type="auto"/>
            <w:vAlign w:val="center"/>
            <w:hideMark/>
          </w:tcPr>
          <w:p w14:paraId="57455E7D" w14:textId="77777777" w:rsidR="00E21C93" w:rsidRPr="00E21C93" w:rsidRDefault="00E21C93" w:rsidP="00E21C93">
            <w:r w:rsidRPr="00E21C93">
              <w:t>1</w:t>
            </w:r>
          </w:p>
        </w:tc>
        <w:tc>
          <w:tcPr>
            <w:tcW w:w="0" w:type="auto"/>
            <w:vAlign w:val="center"/>
            <w:hideMark/>
          </w:tcPr>
          <w:p w14:paraId="1B46CCEF" w14:textId="77777777" w:rsidR="00E21C93" w:rsidRPr="00E21C93" w:rsidRDefault="00E21C93" w:rsidP="00E21C93">
            <w:r w:rsidRPr="00E21C93">
              <w:t>20</w:t>
            </w:r>
          </w:p>
        </w:tc>
        <w:tc>
          <w:tcPr>
            <w:tcW w:w="0" w:type="auto"/>
            <w:vAlign w:val="center"/>
            <w:hideMark/>
          </w:tcPr>
          <w:p w14:paraId="0630B968" w14:textId="77777777" w:rsidR="00E21C93" w:rsidRPr="00E21C93" w:rsidRDefault="00E21C93" w:rsidP="00E21C93">
            <w:r w:rsidRPr="00E21C93">
              <w:t>16</w:t>
            </w:r>
          </w:p>
        </w:tc>
        <w:tc>
          <w:tcPr>
            <w:tcW w:w="0" w:type="auto"/>
            <w:vAlign w:val="center"/>
            <w:hideMark/>
          </w:tcPr>
          <w:p w14:paraId="16457053" w14:textId="77777777" w:rsidR="00E21C93" w:rsidRPr="00E21C93" w:rsidRDefault="00E21C93" w:rsidP="00E21C93">
            <w:r w:rsidRPr="00E21C93">
              <w:t>37</w:t>
            </w:r>
          </w:p>
        </w:tc>
      </w:tr>
      <w:tr w:rsidR="00E21C93" w:rsidRPr="00E21C93" w14:paraId="451E826C" w14:textId="77777777" w:rsidTr="00E21C93">
        <w:trPr>
          <w:tblCellSpacing w:w="15" w:type="dxa"/>
        </w:trPr>
        <w:tc>
          <w:tcPr>
            <w:tcW w:w="0" w:type="auto"/>
            <w:vAlign w:val="center"/>
            <w:hideMark/>
          </w:tcPr>
          <w:p w14:paraId="7EB07907" w14:textId="77777777" w:rsidR="00E21C93" w:rsidRPr="00E21C93" w:rsidRDefault="00E21C93" w:rsidP="00E21C93">
            <w:r w:rsidRPr="00E21C93">
              <w:t>Managers</w:t>
            </w:r>
          </w:p>
        </w:tc>
        <w:tc>
          <w:tcPr>
            <w:tcW w:w="0" w:type="auto"/>
            <w:vAlign w:val="center"/>
            <w:hideMark/>
          </w:tcPr>
          <w:p w14:paraId="531FFD2D" w14:textId="77777777" w:rsidR="00E21C93" w:rsidRPr="00E21C93" w:rsidRDefault="00E21C93" w:rsidP="00E21C93">
            <w:r w:rsidRPr="00E21C93">
              <w:t>2</w:t>
            </w:r>
          </w:p>
        </w:tc>
        <w:tc>
          <w:tcPr>
            <w:tcW w:w="0" w:type="auto"/>
            <w:vAlign w:val="center"/>
            <w:hideMark/>
          </w:tcPr>
          <w:p w14:paraId="0D40817D" w14:textId="77777777" w:rsidR="00E21C93" w:rsidRPr="00E21C93" w:rsidRDefault="00E21C93" w:rsidP="00E21C93">
            <w:r w:rsidRPr="00E21C93">
              <w:t>10</w:t>
            </w:r>
          </w:p>
        </w:tc>
        <w:tc>
          <w:tcPr>
            <w:tcW w:w="0" w:type="auto"/>
            <w:vAlign w:val="center"/>
            <w:hideMark/>
          </w:tcPr>
          <w:p w14:paraId="7EB45F97" w14:textId="77777777" w:rsidR="00E21C93" w:rsidRPr="00E21C93" w:rsidRDefault="00E21C93" w:rsidP="00E21C93">
            <w:r w:rsidRPr="00E21C93">
              <w:t>29</w:t>
            </w:r>
          </w:p>
        </w:tc>
        <w:tc>
          <w:tcPr>
            <w:tcW w:w="0" w:type="auto"/>
            <w:vAlign w:val="center"/>
            <w:hideMark/>
          </w:tcPr>
          <w:p w14:paraId="68C4131F" w14:textId="77777777" w:rsidR="00E21C93" w:rsidRPr="00E21C93" w:rsidRDefault="00E21C93" w:rsidP="00E21C93">
            <w:r w:rsidRPr="00E21C93">
              <w:t>41</w:t>
            </w:r>
          </w:p>
        </w:tc>
      </w:tr>
      <w:tr w:rsidR="00E21C93" w:rsidRPr="00E21C93" w14:paraId="1EE5DB2C" w14:textId="77777777" w:rsidTr="00E21C93">
        <w:trPr>
          <w:tblCellSpacing w:w="15" w:type="dxa"/>
        </w:trPr>
        <w:tc>
          <w:tcPr>
            <w:tcW w:w="0" w:type="auto"/>
            <w:vAlign w:val="center"/>
            <w:hideMark/>
          </w:tcPr>
          <w:p w14:paraId="3E7E543B" w14:textId="77777777" w:rsidR="00E21C93" w:rsidRPr="00E21C93" w:rsidRDefault="00E21C93" w:rsidP="00E21C93">
            <w:r w:rsidRPr="00E21C93">
              <w:t>Procurement</w:t>
            </w:r>
          </w:p>
        </w:tc>
        <w:tc>
          <w:tcPr>
            <w:tcW w:w="0" w:type="auto"/>
            <w:vAlign w:val="center"/>
            <w:hideMark/>
          </w:tcPr>
          <w:p w14:paraId="0F7243F6" w14:textId="77777777" w:rsidR="00E21C93" w:rsidRPr="00E21C93" w:rsidRDefault="00E21C93" w:rsidP="00E21C93">
            <w:r w:rsidRPr="00E21C93">
              <w:t>0</w:t>
            </w:r>
          </w:p>
        </w:tc>
        <w:tc>
          <w:tcPr>
            <w:tcW w:w="0" w:type="auto"/>
            <w:vAlign w:val="center"/>
            <w:hideMark/>
          </w:tcPr>
          <w:p w14:paraId="2DA5F6C1" w14:textId="77777777" w:rsidR="00E21C93" w:rsidRPr="00E21C93" w:rsidRDefault="00E21C93" w:rsidP="00E21C93">
            <w:r w:rsidRPr="00E21C93">
              <w:t>1</w:t>
            </w:r>
          </w:p>
        </w:tc>
        <w:tc>
          <w:tcPr>
            <w:tcW w:w="0" w:type="auto"/>
            <w:vAlign w:val="center"/>
            <w:hideMark/>
          </w:tcPr>
          <w:p w14:paraId="52F82167" w14:textId="77777777" w:rsidR="00E21C93" w:rsidRPr="00E21C93" w:rsidRDefault="00E21C93" w:rsidP="00E21C93">
            <w:r w:rsidRPr="00E21C93">
              <w:t>3</w:t>
            </w:r>
          </w:p>
        </w:tc>
        <w:tc>
          <w:tcPr>
            <w:tcW w:w="0" w:type="auto"/>
            <w:vAlign w:val="center"/>
            <w:hideMark/>
          </w:tcPr>
          <w:p w14:paraId="14265DB6" w14:textId="77777777" w:rsidR="00E21C93" w:rsidRPr="00E21C93" w:rsidRDefault="00E21C93" w:rsidP="00E21C93">
            <w:r w:rsidRPr="00E21C93">
              <w:t>4</w:t>
            </w:r>
          </w:p>
        </w:tc>
      </w:tr>
      <w:tr w:rsidR="00E21C93" w:rsidRPr="00E21C93" w14:paraId="4D390BF4" w14:textId="77777777" w:rsidTr="00E21C93">
        <w:trPr>
          <w:tblCellSpacing w:w="15" w:type="dxa"/>
        </w:trPr>
        <w:tc>
          <w:tcPr>
            <w:tcW w:w="0" w:type="auto"/>
            <w:vAlign w:val="center"/>
            <w:hideMark/>
          </w:tcPr>
          <w:p w14:paraId="7315E878" w14:textId="77777777" w:rsidR="00E21C93" w:rsidRPr="00E21C93" w:rsidRDefault="00E21C93" w:rsidP="00E21C93">
            <w:r w:rsidRPr="00E21C93">
              <w:t>Project Managers</w:t>
            </w:r>
          </w:p>
        </w:tc>
        <w:tc>
          <w:tcPr>
            <w:tcW w:w="0" w:type="auto"/>
            <w:vAlign w:val="center"/>
            <w:hideMark/>
          </w:tcPr>
          <w:p w14:paraId="2A843A5B" w14:textId="77777777" w:rsidR="00E21C93" w:rsidRPr="00E21C93" w:rsidRDefault="00E21C93" w:rsidP="00E21C93">
            <w:r w:rsidRPr="00E21C93">
              <w:t>0</w:t>
            </w:r>
          </w:p>
        </w:tc>
        <w:tc>
          <w:tcPr>
            <w:tcW w:w="0" w:type="auto"/>
            <w:vAlign w:val="center"/>
            <w:hideMark/>
          </w:tcPr>
          <w:p w14:paraId="2DBF8B27" w14:textId="77777777" w:rsidR="00E21C93" w:rsidRPr="00E21C93" w:rsidRDefault="00E21C93" w:rsidP="00E21C93">
            <w:r w:rsidRPr="00E21C93">
              <w:t>33</w:t>
            </w:r>
          </w:p>
        </w:tc>
        <w:tc>
          <w:tcPr>
            <w:tcW w:w="0" w:type="auto"/>
            <w:vAlign w:val="center"/>
            <w:hideMark/>
          </w:tcPr>
          <w:p w14:paraId="284A25B2" w14:textId="77777777" w:rsidR="00E21C93" w:rsidRPr="00E21C93" w:rsidRDefault="00E21C93" w:rsidP="00E21C93">
            <w:r w:rsidRPr="00E21C93">
              <w:t>17</w:t>
            </w:r>
          </w:p>
        </w:tc>
        <w:tc>
          <w:tcPr>
            <w:tcW w:w="0" w:type="auto"/>
            <w:vAlign w:val="center"/>
            <w:hideMark/>
          </w:tcPr>
          <w:p w14:paraId="3F94DEED" w14:textId="77777777" w:rsidR="00E21C93" w:rsidRPr="00E21C93" w:rsidRDefault="00E21C93" w:rsidP="00E21C93">
            <w:r w:rsidRPr="00E21C93">
              <w:t>50</w:t>
            </w:r>
          </w:p>
        </w:tc>
      </w:tr>
      <w:tr w:rsidR="00E21C93" w:rsidRPr="00E21C93" w14:paraId="46F3BB36" w14:textId="77777777" w:rsidTr="00E21C93">
        <w:trPr>
          <w:tblCellSpacing w:w="15" w:type="dxa"/>
        </w:trPr>
        <w:tc>
          <w:tcPr>
            <w:tcW w:w="0" w:type="auto"/>
            <w:vAlign w:val="center"/>
            <w:hideMark/>
          </w:tcPr>
          <w:p w14:paraId="208C7206" w14:textId="77777777" w:rsidR="00E21C93" w:rsidRPr="00E21C93" w:rsidRDefault="00E21C93" w:rsidP="00E21C93">
            <w:r w:rsidRPr="00E21C93">
              <w:t>Technician - Engineering</w:t>
            </w:r>
          </w:p>
        </w:tc>
        <w:tc>
          <w:tcPr>
            <w:tcW w:w="0" w:type="auto"/>
            <w:vAlign w:val="center"/>
            <w:hideMark/>
          </w:tcPr>
          <w:p w14:paraId="46FF169D" w14:textId="77777777" w:rsidR="00E21C93" w:rsidRPr="00E21C93" w:rsidRDefault="00E21C93" w:rsidP="00E21C93">
            <w:r w:rsidRPr="00E21C93">
              <w:t>2</w:t>
            </w:r>
          </w:p>
        </w:tc>
        <w:tc>
          <w:tcPr>
            <w:tcW w:w="0" w:type="auto"/>
            <w:vAlign w:val="center"/>
            <w:hideMark/>
          </w:tcPr>
          <w:p w14:paraId="431354FC" w14:textId="77777777" w:rsidR="00E21C93" w:rsidRPr="00E21C93" w:rsidRDefault="00E21C93" w:rsidP="00E21C93">
            <w:r w:rsidRPr="00E21C93">
              <w:t>7</w:t>
            </w:r>
          </w:p>
        </w:tc>
        <w:tc>
          <w:tcPr>
            <w:tcW w:w="0" w:type="auto"/>
            <w:vAlign w:val="center"/>
            <w:hideMark/>
          </w:tcPr>
          <w:p w14:paraId="57B01A1E" w14:textId="77777777" w:rsidR="00E21C93" w:rsidRPr="00E21C93" w:rsidRDefault="00E21C93" w:rsidP="00E21C93">
            <w:r w:rsidRPr="00E21C93">
              <w:t>52</w:t>
            </w:r>
          </w:p>
        </w:tc>
        <w:tc>
          <w:tcPr>
            <w:tcW w:w="0" w:type="auto"/>
            <w:vAlign w:val="center"/>
            <w:hideMark/>
          </w:tcPr>
          <w:p w14:paraId="19E6D12F" w14:textId="77777777" w:rsidR="00E21C93" w:rsidRPr="00E21C93" w:rsidRDefault="00E21C93" w:rsidP="00E21C93">
            <w:r w:rsidRPr="00E21C93">
              <w:t>61</w:t>
            </w:r>
          </w:p>
        </w:tc>
      </w:tr>
      <w:tr w:rsidR="00E21C93" w:rsidRPr="00E21C93" w14:paraId="0D333960" w14:textId="77777777" w:rsidTr="00E21C93">
        <w:trPr>
          <w:tblCellSpacing w:w="15" w:type="dxa"/>
        </w:trPr>
        <w:tc>
          <w:tcPr>
            <w:tcW w:w="0" w:type="auto"/>
            <w:vAlign w:val="center"/>
            <w:hideMark/>
          </w:tcPr>
          <w:p w14:paraId="0F61D6DE" w14:textId="77777777" w:rsidR="00E21C93" w:rsidRPr="00E21C93" w:rsidRDefault="00E21C93" w:rsidP="00E21C93">
            <w:r w:rsidRPr="00E21C93">
              <w:t>Trades</w:t>
            </w:r>
          </w:p>
        </w:tc>
        <w:tc>
          <w:tcPr>
            <w:tcW w:w="0" w:type="auto"/>
            <w:vAlign w:val="center"/>
            <w:hideMark/>
          </w:tcPr>
          <w:p w14:paraId="377CCABB" w14:textId="77777777" w:rsidR="00E21C93" w:rsidRPr="00E21C93" w:rsidRDefault="00E21C93" w:rsidP="00E21C93">
            <w:r w:rsidRPr="00E21C93">
              <w:t>9</w:t>
            </w:r>
          </w:p>
        </w:tc>
        <w:tc>
          <w:tcPr>
            <w:tcW w:w="0" w:type="auto"/>
            <w:vAlign w:val="center"/>
            <w:hideMark/>
          </w:tcPr>
          <w:p w14:paraId="497A37BB" w14:textId="77777777" w:rsidR="00E21C93" w:rsidRPr="00E21C93" w:rsidRDefault="00E21C93" w:rsidP="00E21C93">
            <w:r w:rsidRPr="00E21C93">
              <w:t>79</w:t>
            </w:r>
          </w:p>
        </w:tc>
        <w:tc>
          <w:tcPr>
            <w:tcW w:w="0" w:type="auto"/>
            <w:vAlign w:val="center"/>
            <w:hideMark/>
          </w:tcPr>
          <w:p w14:paraId="70B8EBEE" w14:textId="77777777" w:rsidR="00E21C93" w:rsidRPr="00E21C93" w:rsidRDefault="00E21C93" w:rsidP="00E21C93">
            <w:r w:rsidRPr="00E21C93">
              <w:t>82</w:t>
            </w:r>
          </w:p>
        </w:tc>
        <w:tc>
          <w:tcPr>
            <w:tcW w:w="0" w:type="auto"/>
            <w:vAlign w:val="center"/>
            <w:hideMark/>
          </w:tcPr>
          <w:p w14:paraId="013FF1FD" w14:textId="77777777" w:rsidR="00E21C93" w:rsidRPr="00E21C93" w:rsidRDefault="00E21C93" w:rsidP="00E21C93">
            <w:r w:rsidRPr="00E21C93">
              <w:t>170</w:t>
            </w:r>
          </w:p>
        </w:tc>
      </w:tr>
      <w:tr w:rsidR="00E21C93" w:rsidRPr="00E21C93" w14:paraId="32915C2A" w14:textId="77777777" w:rsidTr="00E21C93">
        <w:trPr>
          <w:tblCellSpacing w:w="15" w:type="dxa"/>
        </w:trPr>
        <w:tc>
          <w:tcPr>
            <w:tcW w:w="0" w:type="auto"/>
            <w:vAlign w:val="center"/>
            <w:hideMark/>
          </w:tcPr>
          <w:p w14:paraId="012CCFC7" w14:textId="77777777" w:rsidR="00E21C93" w:rsidRPr="00E21C93" w:rsidRDefault="00E21C93" w:rsidP="00E21C93">
            <w:r w:rsidRPr="00E21C93">
              <w:rPr>
                <w:b/>
                <w:bCs/>
              </w:rPr>
              <w:t>Grand Total</w:t>
            </w:r>
          </w:p>
        </w:tc>
        <w:tc>
          <w:tcPr>
            <w:tcW w:w="0" w:type="auto"/>
            <w:vAlign w:val="center"/>
            <w:hideMark/>
          </w:tcPr>
          <w:p w14:paraId="2F2BB13D" w14:textId="77777777" w:rsidR="00E21C93" w:rsidRPr="00E21C93" w:rsidRDefault="00E21C93" w:rsidP="00E21C93">
            <w:r w:rsidRPr="00E21C93">
              <w:t>38</w:t>
            </w:r>
          </w:p>
        </w:tc>
        <w:tc>
          <w:tcPr>
            <w:tcW w:w="0" w:type="auto"/>
            <w:vAlign w:val="center"/>
            <w:hideMark/>
          </w:tcPr>
          <w:p w14:paraId="3A3B4C3D" w14:textId="77777777" w:rsidR="00E21C93" w:rsidRPr="00E21C93" w:rsidRDefault="00E21C93" w:rsidP="00E21C93">
            <w:r w:rsidRPr="00E21C93">
              <w:t>804</w:t>
            </w:r>
          </w:p>
        </w:tc>
        <w:tc>
          <w:tcPr>
            <w:tcW w:w="0" w:type="auto"/>
            <w:vAlign w:val="center"/>
            <w:hideMark/>
          </w:tcPr>
          <w:p w14:paraId="0FE88A0B" w14:textId="77777777" w:rsidR="00E21C93" w:rsidRPr="00E21C93" w:rsidRDefault="00E21C93" w:rsidP="00E21C93">
            <w:r w:rsidRPr="00E21C93">
              <w:t>532</w:t>
            </w:r>
          </w:p>
        </w:tc>
        <w:tc>
          <w:tcPr>
            <w:tcW w:w="0" w:type="auto"/>
            <w:vAlign w:val="center"/>
            <w:hideMark/>
          </w:tcPr>
          <w:p w14:paraId="67047F37" w14:textId="77777777" w:rsidR="00E21C93" w:rsidRPr="00E21C93" w:rsidRDefault="00E21C93" w:rsidP="00E21C93">
            <w:r w:rsidRPr="00E21C93">
              <w:t>1374</w:t>
            </w:r>
          </w:p>
        </w:tc>
      </w:tr>
    </w:tbl>
    <w:p w14:paraId="0D89826A" w14:textId="77777777" w:rsidR="00E21C93" w:rsidRPr="00E21C93" w:rsidRDefault="00E21C93" w:rsidP="00E21C93">
      <w:r w:rsidRPr="00E21C93">
        <w:rPr>
          <w:b/>
          <w:bCs/>
        </w:rPr>
        <w:t>Turnover Counts by Termination Category and Occupation: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629"/>
        <w:gridCol w:w="1174"/>
        <w:gridCol w:w="1284"/>
        <w:gridCol w:w="687"/>
        <w:gridCol w:w="873"/>
        <w:gridCol w:w="642"/>
        <w:gridCol w:w="1177"/>
        <w:gridCol w:w="720"/>
        <w:gridCol w:w="532"/>
      </w:tblGrid>
      <w:tr w:rsidR="00E21C93" w:rsidRPr="00E21C93" w14:paraId="3191FD7C" w14:textId="77777777" w:rsidTr="00E21C93">
        <w:trPr>
          <w:tblHeader/>
          <w:tblCellSpacing w:w="15" w:type="dxa"/>
        </w:trPr>
        <w:tc>
          <w:tcPr>
            <w:tcW w:w="0" w:type="auto"/>
            <w:vAlign w:val="center"/>
            <w:hideMark/>
          </w:tcPr>
          <w:p w14:paraId="6F5CD719" w14:textId="77777777" w:rsidR="00E21C93" w:rsidRPr="00E21C93" w:rsidRDefault="00E21C93" w:rsidP="00E21C93">
            <w:pPr>
              <w:rPr>
                <w:b/>
                <w:bCs/>
              </w:rPr>
            </w:pPr>
            <w:r w:rsidRPr="00E21C93">
              <w:rPr>
                <w:b/>
                <w:bCs/>
              </w:rPr>
              <w:t>Occupation</w:t>
            </w:r>
          </w:p>
        </w:tc>
        <w:tc>
          <w:tcPr>
            <w:tcW w:w="0" w:type="auto"/>
            <w:vAlign w:val="center"/>
            <w:hideMark/>
          </w:tcPr>
          <w:p w14:paraId="57B4DBEF" w14:textId="77777777" w:rsidR="00E21C93" w:rsidRPr="00E21C93" w:rsidRDefault="00E21C93" w:rsidP="00E21C93">
            <w:pPr>
              <w:rPr>
                <w:b/>
                <w:bCs/>
              </w:rPr>
            </w:pPr>
            <w:r w:rsidRPr="00E21C93">
              <w:rPr>
                <w:b/>
                <w:bCs/>
              </w:rPr>
              <w:t>Death</w:t>
            </w:r>
          </w:p>
        </w:tc>
        <w:tc>
          <w:tcPr>
            <w:tcW w:w="0" w:type="auto"/>
            <w:vAlign w:val="center"/>
            <w:hideMark/>
          </w:tcPr>
          <w:p w14:paraId="5066316C" w14:textId="77777777" w:rsidR="00E21C93" w:rsidRPr="00E21C93" w:rsidRDefault="00E21C93" w:rsidP="00E21C93">
            <w:pPr>
              <w:rPr>
                <w:b/>
                <w:bCs/>
              </w:rPr>
            </w:pPr>
            <w:r w:rsidRPr="00E21C93">
              <w:rPr>
                <w:b/>
                <w:bCs/>
              </w:rPr>
              <w:t>Dismissed - Misconduct</w:t>
            </w:r>
          </w:p>
        </w:tc>
        <w:tc>
          <w:tcPr>
            <w:tcW w:w="0" w:type="auto"/>
            <w:vAlign w:val="center"/>
            <w:hideMark/>
          </w:tcPr>
          <w:p w14:paraId="7B82CEA7" w14:textId="77777777" w:rsidR="00E21C93" w:rsidRPr="00E21C93" w:rsidRDefault="00E21C93" w:rsidP="00E21C93">
            <w:pPr>
              <w:rPr>
                <w:b/>
                <w:bCs/>
              </w:rPr>
            </w:pPr>
            <w:r w:rsidRPr="00E21C93">
              <w:rPr>
                <w:b/>
                <w:bCs/>
              </w:rPr>
              <w:t>Dismissed - Poor Performance</w:t>
            </w:r>
          </w:p>
        </w:tc>
        <w:tc>
          <w:tcPr>
            <w:tcW w:w="0" w:type="auto"/>
            <w:vAlign w:val="center"/>
            <w:hideMark/>
          </w:tcPr>
          <w:p w14:paraId="643ED560" w14:textId="77777777" w:rsidR="00E21C93" w:rsidRPr="00E21C93" w:rsidRDefault="00E21C93" w:rsidP="00E21C93">
            <w:pPr>
              <w:rPr>
                <w:b/>
                <w:bCs/>
              </w:rPr>
            </w:pPr>
            <w:r w:rsidRPr="00E21C93">
              <w:rPr>
                <w:b/>
                <w:bCs/>
              </w:rPr>
              <w:t>Family Issues</w:t>
            </w:r>
          </w:p>
        </w:tc>
        <w:tc>
          <w:tcPr>
            <w:tcW w:w="0" w:type="auto"/>
            <w:vAlign w:val="center"/>
            <w:hideMark/>
          </w:tcPr>
          <w:p w14:paraId="598CB5B1" w14:textId="77777777" w:rsidR="00E21C93" w:rsidRPr="00E21C93" w:rsidRDefault="00E21C93" w:rsidP="00E21C93">
            <w:pPr>
              <w:rPr>
                <w:b/>
                <w:bCs/>
              </w:rPr>
            </w:pPr>
            <w:r w:rsidRPr="00E21C93">
              <w:rPr>
                <w:b/>
                <w:bCs/>
              </w:rPr>
              <w:t>Health Reasons</w:t>
            </w:r>
          </w:p>
        </w:tc>
        <w:tc>
          <w:tcPr>
            <w:tcW w:w="0" w:type="auto"/>
            <w:vAlign w:val="center"/>
            <w:hideMark/>
          </w:tcPr>
          <w:p w14:paraId="06231DC6" w14:textId="77777777" w:rsidR="00E21C93" w:rsidRPr="00E21C93" w:rsidRDefault="00E21C93" w:rsidP="00E21C93">
            <w:pPr>
              <w:rPr>
                <w:b/>
                <w:bCs/>
              </w:rPr>
            </w:pPr>
            <w:r w:rsidRPr="00E21C93">
              <w:rPr>
                <w:b/>
                <w:bCs/>
              </w:rPr>
              <w:t>Layoff</w:t>
            </w:r>
          </w:p>
        </w:tc>
        <w:tc>
          <w:tcPr>
            <w:tcW w:w="0" w:type="auto"/>
            <w:vAlign w:val="center"/>
            <w:hideMark/>
          </w:tcPr>
          <w:p w14:paraId="0C39D993" w14:textId="77777777" w:rsidR="00E21C93" w:rsidRPr="00E21C93" w:rsidRDefault="00E21C93" w:rsidP="00E21C93">
            <w:pPr>
              <w:rPr>
                <w:b/>
                <w:bCs/>
              </w:rPr>
            </w:pPr>
            <w:r w:rsidRPr="00E21C93">
              <w:rPr>
                <w:b/>
                <w:bCs/>
              </w:rPr>
              <w:t>Resignation</w:t>
            </w:r>
          </w:p>
        </w:tc>
        <w:tc>
          <w:tcPr>
            <w:tcW w:w="0" w:type="auto"/>
            <w:vAlign w:val="center"/>
            <w:hideMark/>
          </w:tcPr>
          <w:p w14:paraId="225C8910" w14:textId="77777777" w:rsidR="00E21C93" w:rsidRPr="00E21C93" w:rsidRDefault="00E21C93" w:rsidP="00E21C93">
            <w:pPr>
              <w:rPr>
                <w:b/>
                <w:bCs/>
              </w:rPr>
            </w:pPr>
            <w:r w:rsidRPr="00E21C93">
              <w:rPr>
                <w:b/>
                <w:bCs/>
              </w:rPr>
              <w:t>Return to School</w:t>
            </w:r>
          </w:p>
        </w:tc>
        <w:tc>
          <w:tcPr>
            <w:tcW w:w="0" w:type="auto"/>
            <w:vAlign w:val="center"/>
            <w:hideMark/>
          </w:tcPr>
          <w:p w14:paraId="5302E82E" w14:textId="77777777" w:rsidR="00E21C93" w:rsidRPr="00E21C93" w:rsidRDefault="00E21C93" w:rsidP="00E21C93">
            <w:pPr>
              <w:rPr>
                <w:b/>
                <w:bCs/>
              </w:rPr>
            </w:pPr>
            <w:r w:rsidRPr="00E21C93">
              <w:rPr>
                <w:b/>
                <w:bCs/>
              </w:rPr>
              <w:t>Total</w:t>
            </w:r>
          </w:p>
        </w:tc>
      </w:tr>
      <w:tr w:rsidR="00E21C93" w:rsidRPr="00E21C93" w14:paraId="36F9BD57" w14:textId="77777777" w:rsidTr="00E21C93">
        <w:trPr>
          <w:tblCellSpacing w:w="15" w:type="dxa"/>
        </w:trPr>
        <w:tc>
          <w:tcPr>
            <w:tcW w:w="0" w:type="auto"/>
            <w:vAlign w:val="center"/>
            <w:hideMark/>
          </w:tcPr>
          <w:p w14:paraId="48B6508B" w14:textId="77777777" w:rsidR="00E21C93" w:rsidRPr="00E21C93" w:rsidRDefault="00E21C93" w:rsidP="00E21C93">
            <w:r w:rsidRPr="00E21C93">
              <w:t>Accounting</w:t>
            </w:r>
          </w:p>
        </w:tc>
        <w:tc>
          <w:tcPr>
            <w:tcW w:w="0" w:type="auto"/>
            <w:vAlign w:val="center"/>
            <w:hideMark/>
          </w:tcPr>
          <w:p w14:paraId="153CBDD0" w14:textId="77777777" w:rsidR="00E21C93" w:rsidRPr="00E21C93" w:rsidRDefault="00E21C93" w:rsidP="00E21C93">
            <w:r w:rsidRPr="00E21C93">
              <w:t>3</w:t>
            </w:r>
          </w:p>
        </w:tc>
        <w:tc>
          <w:tcPr>
            <w:tcW w:w="0" w:type="auto"/>
            <w:vAlign w:val="center"/>
            <w:hideMark/>
          </w:tcPr>
          <w:p w14:paraId="564A9BD1" w14:textId="77777777" w:rsidR="00E21C93" w:rsidRPr="00E21C93" w:rsidRDefault="00E21C93" w:rsidP="00E21C93">
            <w:r w:rsidRPr="00E21C93">
              <w:t>2</w:t>
            </w:r>
          </w:p>
        </w:tc>
        <w:tc>
          <w:tcPr>
            <w:tcW w:w="0" w:type="auto"/>
            <w:vAlign w:val="center"/>
            <w:hideMark/>
          </w:tcPr>
          <w:p w14:paraId="0748972B" w14:textId="77777777" w:rsidR="00E21C93" w:rsidRPr="00E21C93" w:rsidRDefault="00E21C93" w:rsidP="00E21C93">
            <w:r w:rsidRPr="00E21C93">
              <w:t>3</w:t>
            </w:r>
          </w:p>
        </w:tc>
        <w:tc>
          <w:tcPr>
            <w:tcW w:w="0" w:type="auto"/>
            <w:vAlign w:val="center"/>
            <w:hideMark/>
          </w:tcPr>
          <w:p w14:paraId="06DBF1DD" w14:textId="77777777" w:rsidR="00E21C93" w:rsidRPr="00E21C93" w:rsidRDefault="00E21C93" w:rsidP="00E21C93">
            <w:r w:rsidRPr="00E21C93">
              <w:t>14</w:t>
            </w:r>
          </w:p>
        </w:tc>
        <w:tc>
          <w:tcPr>
            <w:tcW w:w="0" w:type="auto"/>
            <w:vAlign w:val="center"/>
            <w:hideMark/>
          </w:tcPr>
          <w:p w14:paraId="3EDA6954" w14:textId="77777777" w:rsidR="00E21C93" w:rsidRPr="00E21C93" w:rsidRDefault="00E21C93" w:rsidP="00E21C93">
            <w:r w:rsidRPr="00E21C93">
              <w:t>5</w:t>
            </w:r>
          </w:p>
        </w:tc>
        <w:tc>
          <w:tcPr>
            <w:tcW w:w="0" w:type="auto"/>
            <w:vAlign w:val="center"/>
            <w:hideMark/>
          </w:tcPr>
          <w:p w14:paraId="5C077E46" w14:textId="77777777" w:rsidR="00E21C93" w:rsidRPr="00E21C93" w:rsidRDefault="00E21C93" w:rsidP="00E21C93">
            <w:r w:rsidRPr="00E21C93">
              <w:t>31</w:t>
            </w:r>
          </w:p>
        </w:tc>
        <w:tc>
          <w:tcPr>
            <w:tcW w:w="0" w:type="auto"/>
            <w:vAlign w:val="center"/>
            <w:hideMark/>
          </w:tcPr>
          <w:p w14:paraId="26843D91" w14:textId="77777777" w:rsidR="00E21C93" w:rsidRPr="00E21C93" w:rsidRDefault="00E21C93" w:rsidP="00E21C93">
            <w:r w:rsidRPr="00E21C93">
              <w:t>25</w:t>
            </w:r>
          </w:p>
        </w:tc>
        <w:tc>
          <w:tcPr>
            <w:tcW w:w="0" w:type="auto"/>
            <w:vAlign w:val="center"/>
            <w:hideMark/>
          </w:tcPr>
          <w:p w14:paraId="3A3A9A00" w14:textId="77777777" w:rsidR="00E21C93" w:rsidRPr="00E21C93" w:rsidRDefault="00E21C93" w:rsidP="00E21C93">
            <w:r w:rsidRPr="00E21C93">
              <w:t>1</w:t>
            </w:r>
          </w:p>
        </w:tc>
        <w:tc>
          <w:tcPr>
            <w:tcW w:w="0" w:type="auto"/>
            <w:vAlign w:val="center"/>
            <w:hideMark/>
          </w:tcPr>
          <w:p w14:paraId="7532BFEC" w14:textId="77777777" w:rsidR="00E21C93" w:rsidRPr="00E21C93" w:rsidRDefault="00E21C93" w:rsidP="00E21C93">
            <w:r w:rsidRPr="00E21C93">
              <w:t>84</w:t>
            </w:r>
          </w:p>
        </w:tc>
      </w:tr>
      <w:tr w:rsidR="00E21C93" w:rsidRPr="00E21C93" w14:paraId="635E9FD0" w14:textId="77777777" w:rsidTr="00E21C93">
        <w:trPr>
          <w:tblCellSpacing w:w="15" w:type="dxa"/>
        </w:trPr>
        <w:tc>
          <w:tcPr>
            <w:tcW w:w="0" w:type="auto"/>
            <w:vAlign w:val="center"/>
            <w:hideMark/>
          </w:tcPr>
          <w:p w14:paraId="25E18F25" w14:textId="77777777" w:rsidR="00E21C93" w:rsidRPr="00E21C93" w:rsidRDefault="00E21C93" w:rsidP="00E21C93">
            <w:r w:rsidRPr="00E21C93">
              <w:t>Analysts</w:t>
            </w:r>
          </w:p>
        </w:tc>
        <w:tc>
          <w:tcPr>
            <w:tcW w:w="0" w:type="auto"/>
            <w:vAlign w:val="center"/>
            <w:hideMark/>
          </w:tcPr>
          <w:p w14:paraId="593D3E6E" w14:textId="77777777" w:rsidR="00E21C93" w:rsidRPr="00E21C93" w:rsidRDefault="00E21C93" w:rsidP="00E21C93">
            <w:r w:rsidRPr="00E21C93">
              <w:t>1</w:t>
            </w:r>
          </w:p>
        </w:tc>
        <w:tc>
          <w:tcPr>
            <w:tcW w:w="0" w:type="auto"/>
            <w:vAlign w:val="center"/>
            <w:hideMark/>
          </w:tcPr>
          <w:p w14:paraId="1D90E073" w14:textId="77777777" w:rsidR="00E21C93" w:rsidRPr="00E21C93" w:rsidRDefault="00E21C93" w:rsidP="00E21C93">
            <w:r w:rsidRPr="00E21C93">
              <w:t>0</w:t>
            </w:r>
          </w:p>
        </w:tc>
        <w:tc>
          <w:tcPr>
            <w:tcW w:w="0" w:type="auto"/>
            <w:vAlign w:val="center"/>
            <w:hideMark/>
          </w:tcPr>
          <w:p w14:paraId="59FF5120" w14:textId="77777777" w:rsidR="00E21C93" w:rsidRPr="00E21C93" w:rsidRDefault="00E21C93" w:rsidP="00E21C93">
            <w:r w:rsidRPr="00E21C93">
              <w:t>0</w:t>
            </w:r>
          </w:p>
        </w:tc>
        <w:tc>
          <w:tcPr>
            <w:tcW w:w="0" w:type="auto"/>
            <w:vAlign w:val="center"/>
            <w:hideMark/>
          </w:tcPr>
          <w:p w14:paraId="32D81F0E" w14:textId="77777777" w:rsidR="00E21C93" w:rsidRPr="00E21C93" w:rsidRDefault="00E21C93" w:rsidP="00E21C93">
            <w:r w:rsidRPr="00E21C93">
              <w:t>12</w:t>
            </w:r>
          </w:p>
        </w:tc>
        <w:tc>
          <w:tcPr>
            <w:tcW w:w="0" w:type="auto"/>
            <w:vAlign w:val="center"/>
            <w:hideMark/>
          </w:tcPr>
          <w:p w14:paraId="282C1B2D" w14:textId="77777777" w:rsidR="00E21C93" w:rsidRPr="00E21C93" w:rsidRDefault="00E21C93" w:rsidP="00E21C93">
            <w:r w:rsidRPr="00E21C93">
              <w:t>0</w:t>
            </w:r>
          </w:p>
        </w:tc>
        <w:tc>
          <w:tcPr>
            <w:tcW w:w="0" w:type="auto"/>
            <w:vAlign w:val="center"/>
            <w:hideMark/>
          </w:tcPr>
          <w:p w14:paraId="3F1B64F0" w14:textId="77777777" w:rsidR="00E21C93" w:rsidRPr="00E21C93" w:rsidRDefault="00E21C93" w:rsidP="00E21C93">
            <w:r w:rsidRPr="00E21C93">
              <w:t>10</w:t>
            </w:r>
          </w:p>
        </w:tc>
        <w:tc>
          <w:tcPr>
            <w:tcW w:w="0" w:type="auto"/>
            <w:vAlign w:val="center"/>
            <w:hideMark/>
          </w:tcPr>
          <w:p w14:paraId="18FC31FE" w14:textId="77777777" w:rsidR="00E21C93" w:rsidRPr="00E21C93" w:rsidRDefault="00E21C93" w:rsidP="00E21C93">
            <w:r w:rsidRPr="00E21C93">
              <w:t>12</w:t>
            </w:r>
          </w:p>
        </w:tc>
        <w:tc>
          <w:tcPr>
            <w:tcW w:w="0" w:type="auto"/>
            <w:vAlign w:val="center"/>
            <w:hideMark/>
          </w:tcPr>
          <w:p w14:paraId="1E1698D8" w14:textId="77777777" w:rsidR="00E21C93" w:rsidRPr="00E21C93" w:rsidRDefault="00E21C93" w:rsidP="00E21C93">
            <w:r w:rsidRPr="00E21C93">
              <w:t>0</w:t>
            </w:r>
          </w:p>
        </w:tc>
        <w:tc>
          <w:tcPr>
            <w:tcW w:w="0" w:type="auto"/>
            <w:vAlign w:val="center"/>
            <w:hideMark/>
          </w:tcPr>
          <w:p w14:paraId="63F25974" w14:textId="77777777" w:rsidR="00E21C93" w:rsidRPr="00E21C93" w:rsidRDefault="00E21C93" w:rsidP="00E21C93">
            <w:r w:rsidRPr="00E21C93">
              <w:t>35</w:t>
            </w:r>
          </w:p>
        </w:tc>
      </w:tr>
      <w:tr w:rsidR="00E21C93" w:rsidRPr="00E21C93" w14:paraId="16D1DD9B" w14:textId="77777777" w:rsidTr="00E21C93">
        <w:trPr>
          <w:tblCellSpacing w:w="15" w:type="dxa"/>
        </w:trPr>
        <w:tc>
          <w:tcPr>
            <w:tcW w:w="0" w:type="auto"/>
            <w:vAlign w:val="center"/>
            <w:hideMark/>
          </w:tcPr>
          <w:p w14:paraId="4025E540" w14:textId="77777777" w:rsidR="00E21C93" w:rsidRPr="00E21C93" w:rsidRDefault="00E21C93" w:rsidP="00E21C93">
            <w:r w:rsidRPr="00E21C93">
              <w:t>Business Development</w:t>
            </w:r>
          </w:p>
        </w:tc>
        <w:tc>
          <w:tcPr>
            <w:tcW w:w="0" w:type="auto"/>
            <w:vAlign w:val="center"/>
            <w:hideMark/>
          </w:tcPr>
          <w:p w14:paraId="08D8974E" w14:textId="77777777" w:rsidR="00E21C93" w:rsidRPr="00E21C93" w:rsidRDefault="00E21C93" w:rsidP="00E21C93">
            <w:r w:rsidRPr="00E21C93">
              <w:t>1</w:t>
            </w:r>
          </w:p>
        </w:tc>
        <w:tc>
          <w:tcPr>
            <w:tcW w:w="0" w:type="auto"/>
            <w:vAlign w:val="center"/>
            <w:hideMark/>
          </w:tcPr>
          <w:p w14:paraId="783130A6" w14:textId="77777777" w:rsidR="00E21C93" w:rsidRPr="00E21C93" w:rsidRDefault="00E21C93" w:rsidP="00E21C93">
            <w:r w:rsidRPr="00E21C93">
              <w:t>0</w:t>
            </w:r>
          </w:p>
        </w:tc>
        <w:tc>
          <w:tcPr>
            <w:tcW w:w="0" w:type="auto"/>
            <w:vAlign w:val="center"/>
            <w:hideMark/>
          </w:tcPr>
          <w:p w14:paraId="12243BAE" w14:textId="77777777" w:rsidR="00E21C93" w:rsidRPr="00E21C93" w:rsidRDefault="00E21C93" w:rsidP="00E21C93">
            <w:r w:rsidRPr="00E21C93">
              <w:t>2</w:t>
            </w:r>
          </w:p>
        </w:tc>
        <w:tc>
          <w:tcPr>
            <w:tcW w:w="0" w:type="auto"/>
            <w:vAlign w:val="center"/>
            <w:hideMark/>
          </w:tcPr>
          <w:p w14:paraId="131240EE" w14:textId="77777777" w:rsidR="00E21C93" w:rsidRPr="00E21C93" w:rsidRDefault="00E21C93" w:rsidP="00E21C93">
            <w:r w:rsidRPr="00E21C93">
              <w:t>7</w:t>
            </w:r>
          </w:p>
        </w:tc>
        <w:tc>
          <w:tcPr>
            <w:tcW w:w="0" w:type="auto"/>
            <w:vAlign w:val="center"/>
            <w:hideMark/>
          </w:tcPr>
          <w:p w14:paraId="3E519F36" w14:textId="77777777" w:rsidR="00E21C93" w:rsidRPr="00E21C93" w:rsidRDefault="00E21C93" w:rsidP="00E21C93">
            <w:r w:rsidRPr="00E21C93">
              <w:t>2</w:t>
            </w:r>
          </w:p>
        </w:tc>
        <w:tc>
          <w:tcPr>
            <w:tcW w:w="0" w:type="auto"/>
            <w:vAlign w:val="center"/>
            <w:hideMark/>
          </w:tcPr>
          <w:p w14:paraId="5C55AFA9" w14:textId="77777777" w:rsidR="00E21C93" w:rsidRPr="00E21C93" w:rsidRDefault="00E21C93" w:rsidP="00E21C93">
            <w:r w:rsidRPr="00E21C93">
              <w:t>117</w:t>
            </w:r>
          </w:p>
        </w:tc>
        <w:tc>
          <w:tcPr>
            <w:tcW w:w="0" w:type="auto"/>
            <w:vAlign w:val="center"/>
            <w:hideMark/>
          </w:tcPr>
          <w:p w14:paraId="5E40C673" w14:textId="77777777" w:rsidR="00E21C93" w:rsidRPr="00E21C93" w:rsidRDefault="00E21C93" w:rsidP="00E21C93">
            <w:r w:rsidRPr="00E21C93">
              <w:t>12</w:t>
            </w:r>
          </w:p>
        </w:tc>
        <w:tc>
          <w:tcPr>
            <w:tcW w:w="0" w:type="auto"/>
            <w:vAlign w:val="center"/>
            <w:hideMark/>
          </w:tcPr>
          <w:p w14:paraId="760A24BB" w14:textId="77777777" w:rsidR="00E21C93" w:rsidRPr="00E21C93" w:rsidRDefault="00E21C93" w:rsidP="00E21C93">
            <w:r w:rsidRPr="00E21C93">
              <w:t>2</w:t>
            </w:r>
          </w:p>
        </w:tc>
        <w:tc>
          <w:tcPr>
            <w:tcW w:w="0" w:type="auto"/>
            <w:vAlign w:val="center"/>
            <w:hideMark/>
          </w:tcPr>
          <w:p w14:paraId="7E301CE8" w14:textId="77777777" w:rsidR="00E21C93" w:rsidRPr="00E21C93" w:rsidRDefault="00E21C93" w:rsidP="00E21C93">
            <w:r w:rsidRPr="00E21C93">
              <w:t>143</w:t>
            </w:r>
          </w:p>
        </w:tc>
      </w:tr>
      <w:tr w:rsidR="00E21C93" w:rsidRPr="00E21C93" w14:paraId="0998C006" w14:textId="77777777" w:rsidTr="00E21C93">
        <w:trPr>
          <w:tblCellSpacing w:w="15" w:type="dxa"/>
        </w:trPr>
        <w:tc>
          <w:tcPr>
            <w:tcW w:w="0" w:type="auto"/>
            <w:vAlign w:val="center"/>
            <w:hideMark/>
          </w:tcPr>
          <w:p w14:paraId="0C2F3763" w14:textId="77777777" w:rsidR="00E21C93" w:rsidRPr="00E21C93" w:rsidRDefault="00E21C93" w:rsidP="00E21C93">
            <w:r w:rsidRPr="00E21C93">
              <w:lastRenderedPageBreak/>
              <w:t>Clerks/Assistants</w:t>
            </w:r>
          </w:p>
        </w:tc>
        <w:tc>
          <w:tcPr>
            <w:tcW w:w="0" w:type="auto"/>
            <w:vAlign w:val="center"/>
            <w:hideMark/>
          </w:tcPr>
          <w:p w14:paraId="0A6C8DA9" w14:textId="77777777" w:rsidR="00E21C93" w:rsidRPr="00E21C93" w:rsidRDefault="00E21C93" w:rsidP="00E21C93">
            <w:r w:rsidRPr="00E21C93">
              <w:t>1</w:t>
            </w:r>
          </w:p>
        </w:tc>
        <w:tc>
          <w:tcPr>
            <w:tcW w:w="0" w:type="auto"/>
            <w:vAlign w:val="center"/>
            <w:hideMark/>
          </w:tcPr>
          <w:p w14:paraId="018344D2" w14:textId="77777777" w:rsidR="00E21C93" w:rsidRPr="00E21C93" w:rsidRDefault="00E21C93" w:rsidP="00E21C93">
            <w:r w:rsidRPr="00E21C93">
              <w:t>1</w:t>
            </w:r>
          </w:p>
        </w:tc>
        <w:tc>
          <w:tcPr>
            <w:tcW w:w="0" w:type="auto"/>
            <w:vAlign w:val="center"/>
            <w:hideMark/>
          </w:tcPr>
          <w:p w14:paraId="23F3D726" w14:textId="77777777" w:rsidR="00E21C93" w:rsidRPr="00E21C93" w:rsidRDefault="00E21C93" w:rsidP="00E21C93">
            <w:r w:rsidRPr="00E21C93">
              <w:t>1</w:t>
            </w:r>
          </w:p>
        </w:tc>
        <w:tc>
          <w:tcPr>
            <w:tcW w:w="0" w:type="auto"/>
            <w:vAlign w:val="center"/>
            <w:hideMark/>
          </w:tcPr>
          <w:p w14:paraId="5C91A2BF" w14:textId="77777777" w:rsidR="00E21C93" w:rsidRPr="00E21C93" w:rsidRDefault="00E21C93" w:rsidP="00E21C93">
            <w:r w:rsidRPr="00E21C93">
              <w:t>5</w:t>
            </w:r>
          </w:p>
        </w:tc>
        <w:tc>
          <w:tcPr>
            <w:tcW w:w="0" w:type="auto"/>
            <w:vAlign w:val="center"/>
            <w:hideMark/>
          </w:tcPr>
          <w:p w14:paraId="5A1D6BD7" w14:textId="77777777" w:rsidR="00E21C93" w:rsidRPr="00E21C93" w:rsidRDefault="00E21C93" w:rsidP="00E21C93">
            <w:r w:rsidRPr="00E21C93">
              <w:t>1</w:t>
            </w:r>
          </w:p>
        </w:tc>
        <w:tc>
          <w:tcPr>
            <w:tcW w:w="0" w:type="auto"/>
            <w:vAlign w:val="center"/>
            <w:hideMark/>
          </w:tcPr>
          <w:p w14:paraId="35BEEF4C" w14:textId="77777777" w:rsidR="00E21C93" w:rsidRPr="00E21C93" w:rsidRDefault="00E21C93" w:rsidP="00E21C93">
            <w:r w:rsidRPr="00E21C93">
              <w:t>339</w:t>
            </w:r>
          </w:p>
        </w:tc>
        <w:tc>
          <w:tcPr>
            <w:tcW w:w="0" w:type="auto"/>
            <w:vAlign w:val="center"/>
            <w:hideMark/>
          </w:tcPr>
          <w:p w14:paraId="78EF086E" w14:textId="77777777" w:rsidR="00E21C93" w:rsidRPr="00E21C93" w:rsidRDefault="00E21C93" w:rsidP="00E21C93">
            <w:r w:rsidRPr="00E21C93">
              <w:t>11</w:t>
            </w:r>
          </w:p>
        </w:tc>
        <w:tc>
          <w:tcPr>
            <w:tcW w:w="0" w:type="auto"/>
            <w:vAlign w:val="center"/>
            <w:hideMark/>
          </w:tcPr>
          <w:p w14:paraId="05234B4A" w14:textId="77777777" w:rsidR="00E21C93" w:rsidRPr="00E21C93" w:rsidRDefault="00E21C93" w:rsidP="00E21C93">
            <w:r w:rsidRPr="00E21C93">
              <w:t>2</w:t>
            </w:r>
          </w:p>
        </w:tc>
        <w:tc>
          <w:tcPr>
            <w:tcW w:w="0" w:type="auto"/>
            <w:vAlign w:val="center"/>
            <w:hideMark/>
          </w:tcPr>
          <w:p w14:paraId="360C1BF1" w14:textId="77777777" w:rsidR="00E21C93" w:rsidRPr="00E21C93" w:rsidRDefault="00E21C93" w:rsidP="00E21C93">
            <w:r w:rsidRPr="00E21C93">
              <w:t>361</w:t>
            </w:r>
          </w:p>
        </w:tc>
      </w:tr>
      <w:tr w:rsidR="00E21C93" w:rsidRPr="00E21C93" w14:paraId="20D96BD7" w14:textId="77777777" w:rsidTr="00E21C93">
        <w:trPr>
          <w:tblCellSpacing w:w="15" w:type="dxa"/>
        </w:trPr>
        <w:tc>
          <w:tcPr>
            <w:tcW w:w="0" w:type="auto"/>
            <w:vAlign w:val="center"/>
            <w:hideMark/>
          </w:tcPr>
          <w:p w14:paraId="440B66FE" w14:textId="77777777" w:rsidR="00E21C93" w:rsidRPr="00E21C93" w:rsidRDefault="00E21C93" w:rsidP="00E21C93">
            <w:r w:rsidRPr="00E21C93">
              <w:t>Drafter</w:t>
            </w:r>
          </w:p>
        </w:tc>
        <w:tc>
          <w:tcPr>
            <w:tcW w:w="0" w:type="auto"/>
            <w:vAlign w:val="center"/>
            <w:hideMark/>
          </w:tcPr>
          <w:p w14:paraId="047AFCB0" w14:textId="77777777" w:rsidR="00E21C93" w:rsidRPr="00E21C93" w:rsidRDefault="00E21C93" w:rsidP="00E21C93">
            <w:r w:rsidRPr="00E21C93">
              <w:t>2</w:t>
            </w:r>
          </w:p>
        </w:tc>
        <w:tc>
          <w:tcPr>
            <w:tcW w:w="0" w:type="auto"/>
            <w:vAlign w:val="center"/>
            <w:hideMark/>
          </w:tcPr>
          <w:p w14:paraId="7D3C9A51" w14:textId="77777777" w:rsidR="00E21C93" w:rsidRPr="00E21C93" w:rsidRDefault="00E21C93" w:rsidP="00E21C93">
            <w:r w:rsidRPr="00E21C93">
              <w:t>0</w:t>
            </w:r>
          </w:p>
        </w:tc>
        <w:tc>
          <w:tcPr>
            <w:tcW w:w="0" w:type="auto"/>
            <w:vAlign w:val="center"/>
            <w:hideMark/>
          </w:tcPr>
          <w:p w14:paraId="18F8FFFA" w14:textId="77777777" w:rsidR="00E21C93" w:rsidRPr="00E21C93" w:rsidRDefault="00E21C93" w:rsidP="00E21C93">
            <w:r w:rsidRPr="00E21C93">
              <w:t>0</w:t>
            </w:r>
          </w:p>
        </w:tc>
        <w:tc>
          <w:tcPr>
            <w:tcW w:w="0" w:type="auto"/>
            <w:vAlign w:val="center"/>
            <w:hideMark/>
          </w:tcPr>
          <w:p w14:paraId="2380D88A" w14:textId="77777777" w:rsidR="00E21C93" w:rsidRPr="00E21C93" w:rsidRDefault="00E21C93" w:rsidP="00E21C93">
            <w:r w:rsidRPr="00E21C93">
              <w:t>8</w:t>
            </w:r>
          </w:p>
        </w:tc>
        <w:tc>
          <w:tcPr>
            <w:tcW w:w="0" w:type="auto"/>
            <w:vAlign w:val="center"/>
            <w:hideMark/>
          </w:tcPr>
          <w:p w14:paraId="20FFDAE2" w14:textId="77777777" w:rsidR="00E21C93" w:rsidRPr="00E21C93" w:rsidRDefault="00E21C93" w:rsidP="00E21C93">
            <w:r w:rsidRPr="00E21C93">
              <w:t>2</w:t>
            </w:r>
          </w:p>
        </w:tc>
        <w:tc>
          <w:tcPr>
            <w:tcW w:w="0" w:type="auto"/>
            <w:vAlign w:val="center"/>
            <w:hideMark/>
          </w:tcPr>
          <w:p w14:paraId="127CE526" w14:textId="77777777" w:rsidR="00E21C93" w:rsidRPr="00E21C93" w:rsidRDefault="00E21C93" w:rsidP="00E21C93">
            <w:r w:rsidRPr="00E21C93">
              <w:t>80</w:t>
            </w:r>
          </w:p>
        </w:tc>
        <w:tc>
          <w:tcPr>
            <w:tcW w:w="0" w:type="auto"/>
            <w:vAlign w:val="center"/>
            <w:hideMark/>
          </w:tcPr>
          <w:p w14:paraId="5C6F9C80" w14:textId="77777777" w:rsidR="00E21C93" w:rsidRPr="00E21C93" w:rsidRDefault="00E21C93" w:rsidP="00E21C93">
            <w:r w:rsidRPr="00E21C93">
              <w:t>34</w:t>
            </w:r>
          </w:p>
        </w:tc>
        <w:tc>
          <w:tcPr>
            <w:tcW w:w="0" w:type="auto"/>
            <w:vAlign w:val="center"/>
            <w:hideMark/>
          </w:tcPr>
          <w:p w14:paraId="40D3AF18" w14:textId="77777777" w:rsidR="00E21C93" w:rsidRPr="00E21C93" w:rsidRDefault="00E21C93" w:rsidP="00E21C93">
            <w:r w:rsidRPr="00E21C93">
              <w:t>9</w:t>
            </w:r>
          </w:p>
        </w:tc>
        <w:tc>
          <w:tcPr>
            <w:tcW w:w="0" w:type="auto"/>
            <w:vAlign w:val="center"/>
            <w:hideMark/>
          </w:tcPr>
          <w:p w14:paraId="13F10855" w14:textId="77777777" w:rsidR="00E21C93" w:rsidRPr="00E21C93" w:rsidRDefault="00E21C93" w:rsidP="00E21C93">
            <w:r w:rsidRPr="00E21C93">
              <w:t>135</w:t>
            </w:r>
          </w:p>
        </w:tc>
      </w:tr>
      <w:tr w:rsidR="00E21C93" w:rsidRPr="00E21C93" w14:paraId="4D3B3FFF" w14:textId="77777777" w:rsidTr="00E21C93">
        <w:trPr>
          <w:tblCellSpacing w:w="15" w:type="dxa"/>
        </w:trPr>
        <w:tc>
          <w:tcPr>
            <w:tcW w:w="0" w:type="auto"/>
            <w:vAlign w:val="center"/>
            <w:hideMark/>
          </w:tcPr>
          <w:p w14:paraId="500ACB1B" w14:textId="77777777" w:rsidR="00E21C93" w:rsidRPr="00E21C93" w:rsidRDefault="00E21C93" w:rsidP="00E21C93">
            <w:r w:rsidRPr="00E21C93">
              <w:t>Engineer</w:t>
            </w:r>
          </w:p>
        </w:tc>
        <w:tc>
          <w:tcPr>
            <w:tcW w:w="0" w:type="auto"/>
            <w:vAlign w:val="center"/>
            <w:hideMark/>
          </w:tcPr>
          <w:p w14:paraId="491EA6E5" w14:textId="77777777" w:rsidR="00E21C93" w:rsidRPr="00E21C93" w:rsidRDefault="00E21C93" w:rsidP="00E21C93">
            <w:r w:rsidRPr="00E21C93">
              <w:t>12</w:t>
            </w:r>
          </w:p>
        </w:tc>
        <w:tc>
          <w:tcPr>
            <w:tcW w:w="0" w:type="auto"/>
            <w:vAlign w:val="center"/>
            <w:hideMark/>
          </w:tcPr>
          <w:p w14:paraId="37F58219" w14:textId="77777777" w:rsidR="00E21C93" w:rsidRPr="00E21C93" w:rsidRDefault="00E21C93" w:rsidP="00E21C93">
            <w:r w:rsidRPr="00E21C93">
              <w:t>5</w:t>
            </w:r>
          </w:p>
        </w:tc>
        <w:tc>
          <w:tcPr>
            <w:tcW w:w="0" w:type="auto"/>
            <w:vAlign w:val="center"/>
            <w:hideMark/>
          </w:tcPr>
          <w:p w14:paraId="608CC9EE" w14:textId="77777777" w:rsidR="00E21C93" w:rsidRPr="00E21C93" w:rsidRDefault="00E21C93" w:rsidP="00E21C93">
            <w:r w:rsidRPr="00E21C93">
              <w:t>3</w:t>
            </w:r>
          </w:p>
        </w:tc>
        <w:tc>
          <w:tcPr>
            <w:tcW w:w="0" w:type="auto"/>
            <w:vAlign w:val="center"/>
            <w:hideMark/>
          </w:tcPr>
          <w:p w14:paraId="142B88EE" w14:textId="77777777" w:rsidR="00E21C93" w:rsidRPr="00E21C93" w:rsidRDefault="00E21C93" w:rsidP="00E21C93">
            <w:r w:rsidRPr="00E21C93">
              <w:t>30</w:t>
            </w:r>
          </w:p>
        </w:tc>
        <w:tc>
          <w:tcPr>
            <w:tcW w:w="0" w:type="auto"/>
            <w:vAlign w:val="center"/>
            <w:hideMark/>
          </w:tcPr>
          <w:p w14:paraId="6530C14A" w14:textId="77777777" w:rsidR="00E21C93" w:rsidRPr="00E21C93" w:rsidRDefault="00E21C93" w:rsidP="00E21C93">
            <w:r w:rsidRPr="00E21C93">
              <w:t>10</w:t>
            </w:r>
          </w:p>
        </w:tc>
        <w:tc>
          <w:tcPr>
            <w:tcW w:w="0" w:type="auto"/>
            <w:vAlign w:val="center"/>
            <w:hideMark/>
          </w:tcPr>
          <w:p w14:paraId="1A7421E1" w14:textId="77777777" w:rsidR="00E21C93" w:rsidRPr="00E21C93" w:rsidRDefault="00E21C93" w:rsidP="00E21C93">
            <w:r w:rsidRPr="00E21C93">
              <w:t>32</w:t>
            </w:r>
          </w:p>
        </w:tc>
        <w:tc>
          <w:tcPr>
            <w:tcW w:w="0" w:type="auto"/>
            <w:vAlign w:val="center"/>
            <w:hideMark/>
          </w:tcPr>
          <w:p w14:paraId="74448116" w14:textId="77777777" w:rsidR="00E21C93" w:rsidRPr="00E21C93" w:rsidRDefault="00E21C93" w:rsidP="00E21C93">
            <w:r w:rsidRPr="00E21C93">
              <w:t>101</w:t>
            </w:r>
          </w:p>
        </w:tc>
        <w:tc>
          <w:tcPr>
            <w:tcW w:w="0" w:type="auto"/>
            <w:vAlign w:val="center"/>
            <w:hideMark/>
          </w:tcPr>
          <w:p w14:paraId="03192CB8" w14:textId="77777777" w:rsidR="00E21C93" w:rsidRPr="00E21C93" w:rsidRDefault="00E21C93" w:rsidP="00E21C93">
            <w:r w:rsidRPr="00E21C93">
              <w:t>2</w:t>
            </w:r>
          </w:p>
        </w:tc>
        <w:tc>
          <w:tcPr>
            <w:tcW w:w="0" w:type="auto"/>
            <w:vAlign w:val="center"/>
            <w:hideMark/>
          </w:tcPr>
          <w:p w14:paraId="77D54EC1" w14:textId="77777777" w:rsidR="00E21C93" w:rsidRPr="00E21C93" w:rsidRDefault="00E21C93" w:rsidP="00E21C93">
            <w:r w:rsidRPr="00E21C93">
              <w:t>195</w:t>
            </w:r>
          </w:p>
        </w:tc>
      </w:tr>
      <w:tr w:rsidR="00E21C93" w:rsidRPr="00E21C93" w14:paraId="7AAE6080" w14:textId="77777777" w:rsidTr="00E21C93">
        <w:trPr>
          <w:tblCellSpacing w:w="15" w:type="dxa"/>
        </w:trPr>
        <w:tc>
          <w:tcPr>
            <w:tcW w:w="0" w:type="auto"/>
            <w:vAlign w:val="center"/>
            <w:hideMark/>
          </w:tcPr>
          <w:p w14:paraId="7512EA08" w14:textId="77777777" w:rsidR="00E21C93" w:rsidRPr="00E21C93" w:rsidRDefault="00E21C93" w:rsidP="00E21C93">
            <w:r w:rsidRPr="00E21C93">
              <w:t>HR</w:t>
            </w:r>
          </w:p>
        </w:tc>
        <w:tc>
          <w:tcPr>
            <w:tcW w:w="0" w:type="auto"/>
            <w:vAlign w:val="center"/>
            <w:hideMark/>
          </w:tcPr>
          <w:p w14:paraId="71A93149" w14:textId="77777777" w:rsidR="00E21C93" w:rsidRPr="00E21C93" w:rsidRDefault="00E21C93" w:rsidP="00E21C93">
            <w:r w:rsidRPr="00E21C93">
              <w:t>2</w:t>
            </w:r>
          </w:p>
        </w:tc>
        <w:tc>
          <w:tcPr>
            <w:tcW w:w="0" w:type="auto"/>
            <w:vAlign w:val="center"/>
            <w:hideMark/>
          </w:tcPr>
          <w:p w14:paraId="02D4AB72" w14:textId="77777777" w:rsidR="00E21C93" w:rsidRPr="00E21C93" w:rsidRDefault="00E21C93" w:rsidP="00E21C93">
            <w:r w:rsidRPr="00E21C93">
              <w:t>0</w:t>
            </w:r>
          </w:p>
        </w:tc>
        <w:tc>
          <w:tcPr>
            <w:tcW w:w="0" w:type="auto"/>
            <w:vAlign w:val="center"/>
            <w:hideMark/>
          </w:tcPr>
          <w:p w14:paraId="33C1D383" w14:textId="77777777" w:rsidR="00E21C93" w:rsidRPr="00E21C93" w:rsidRDefault="00E21C93" w:rsidP="00E21C93">
            <w:r w:rsidRPr="00E21C93">
              <w:t>1</w:t>
            </w:r>
          </w:p>
        </w:tc>
        <w:tc>
          <w:tcPr>
            <w:tcW w:w="0" w:type="auto"/>
            <w:vAlign w:val="center"/>
            <w:hideMark/>
          </w:tcPr>
          <w:p w14:paraId="2DDC0AAE" w14:textId="77777777" w:rsidR="00E21C93" w:rsidRPr="00E21C93" w:rsidRDefault="00E21C93" w:rsidP="00E21C93">
            <w:r w:rsidRPr="00E21C93">
              <w:t>2</w:t>
            </w:r>
          </w:p>
        </w:tc>
        <w:tc>
          <w:tcPr>
            <w:tcW w:w="0" w:type="auto"/>
            <w:vAlign w:val="center"/>
            <w:hideMark/>
          </w:tcPr>
          <w:p w14:paraId="6D9287A1" w14:textId="77777777" w:rsidR="00E21C93" w:rsidRPr="00E21C93" w:rsidRDefault="00E21C93" w:rsidP="00E21C93">
            <w:r w:rsidRPr="00E21C93">
              <w:t>1</w:t>
            </w:r>
          </w:p>
        </w:tc>
        <w:tc>
          <w:tcPr>
            <w:tcW w:w="0" w:type="auto"/>
            <w:vAlign w:val="center"/>
            <w:hideMark/>
          </w:tcPr>
          <w:p w14:paraId="296A2433" w14:textId="77777777" w:rsidR="00E21C93" w:rsidRPr="00E21C93" w:rsidRDefault="00E21C93" w:rsidP="00E21C93">
            <w:r w:rsidRPr="00E21C93">
              <w:t>5</w:t>
            </w:r>
          </w:p>
        </w:tc>
        <w:tc>
          <w:tcPr>
            <w:tcW w:w="0" w:type="auto"/>
            <w:vAlign w:val="center"/>
            <w:hideMark/>
          </w:tcPr>
          <w:p w14:paraId="67FB83FA" w14:textId="77777777" w:rsidR="00E21C93" w:rsidRPr="00E21C93" w:rsidRDefault="00E21C93" w:rsidP="00E21C93">
            <w:r w:rsidRPr="00E21C93">
              <w:t>16</w:t>
            </w:r>
          </w:p>
        </w:tc>
        <w:tc>
          <w:tcPr>
            <w:tcW w:w="0" w:type="auto"/>
            <w:vAlign w:val="center"/>
            <w:hideMark/>
          </w:tcPr>
          <w:p w14:paraId="37030AA7" w14:textId="77777777" w:rsidR="00E21C93" w:rsidRPr="00E21C93" w:rsidRDefault="00E21C93" w:rsidP="00E21C93">
            <w:r w:rsidRPr="00E21C93">
              <w:t>2</w:t>
            </w:r>
          </w:p>
        </w:tc>
        <w:tc>
          <w:tcPr>
            <w:tcW w:w="0" w:type="auto"/>
            <w:vAlign w:val="center"/>
            <w:hideMark/>
          </w:tcPr>
          <w:p w14:paraId="0ABC73AD" w14:textId="77777777" w:rsidR="00E21C93" w:rsidRPr="00E21C93" w:rsidRDefault="00E21C93" w:rsidP="00E21C93">
            <w:r w:rsidRPr="00E21C93">
              <w:t>29</w:t>
            </w:r>
          </w:p>
        </w:tc>
      </w:tr>
      <w:tr w:rsidR="00E21C93" w:rsidRPr="00E21C93" w14:paraId="50B4DFF3" w14:textId="77777777" w:rsidTr="00E21C93">
        <w:trPr>
          <w:tblCellSpacing w:w="15" w:type="dxa"/>
        </w:trPr>
        <w:tc>
          <w:tcPr>
            <w:tcW w:w="0" w:type="auto"/>
            <w:vAlign w:val="center"/>
            <w:hideMark/>
          </w:tcPr>
          <w:p w14:paraId="0EB91899" w14:textId="77777777" w:rsidR="00E21C93" w:rsidRPr="00E21C93" w:rsidRDefault="00E21C93" w:rsidP="00E21C93">
            <w:r w:rsidRPr="00E21C93">
              <w:t>IT</w:t>
            </w:r>
          </w:p>
        </w:tc>
        <w:tc>
          <w:tcPr>
            <w:tcW w:w="0" w:type="auto"/>
            <w:vAlign w:val="center"/>
            <w:hideMark/>
          </w:tcPr>
          <w:p w14:paraId="6DF15010" w14:textId="77777777" w:rsidR="00E21C93" w:rsidRPr="00E21C93" w:rsidRDefault="00E21C93" w:rsidP="00E21C93">
            <w:r w:rsidRPr="00E21C93">
              <w:t>0</w:t>
            </w:r>
          </w:p>
        </w:tc>
        <w:tc>
          <w:tcPr>
            <w:tcW w:w="0" w:type="auto"/>
            <w:vAlign w:val="center"/>
            <w:hideMark/>
          </w:tcPr>
          <w:p w14:paraId="5D9975A4" w14:textId="77777777" w:rsidR="00E21C93" w:rsidRPr="00E21C93" w:rsidRDefault="00E21C93" w:rsidP="00E21C93">
            <w:r w:rsidRPr="00E21C93">
              <w:t>0</w:t>
            </w:r>
          </w:p>
        </w:tc>
        <w:tc>
          <w:tcPr>
            <w:tcW w:w="0" w:type="auto"/>
            <w:vAlign w:val="center"/>
            <w:hideMark/>
          </w:tcPr>
          <w:p w14:paraId="6342E9C5" w14:textId="77777777" w:rsidR="00E21C93" w:rsidRPr="00E21C93" w:rsidRDefault="00E21C93" w:rsidP="00E21C93">
            <w:r w:rsidRPr="00E21C93">
              <w:t>1</w:t>
            </w:r>
          </w:p>
        </w:tc>
        <w:tc>
          <w:tcPr>
            <w:tcW w:w="0" w:type="auto"/>
            <w:vAlign w:val="center"/>
            <w:hideMark/>
          </w:tcPr>
          <w:p w14:paraId="190F1890" w14:textId="77777777" w:rsidR="00E21C93" w:rsidRPr="00E21C93" w:rsidRDefault="00E21C93" w:rsidP="00E21C93">
            <w:r w:rsidRPr="00E21C93">
              <w:t>9</w:t>
            </w:r>
          </w:p>
        </w:tc>
        <w:tc>
          <w:tcPr>
            <w:tcW w:w="0" w:type="auto"/>
            <w:vAlign w:val="center"/>
            <w:hideMark/>
          </w:tcPr>
          <w:p w14:paraId="732E18A9" w14:textId="77777777" w:rsidR="00E21C93" w:rsidRPr="00E21C93" w:rsidRDefault="00E21C93" w:rsidP="00E21C93">
            <w:r w:rsidRPr="00E21C93">
              <w:t>0</w:t>
            </w:r>
          </w:p>
        </w:tc>
        <w:tc>
          <w:tcPr>
            <w:tcW w:w="0" w:type="auto"/>
            <w:vAlign w:val="center"/>
            <w:hideMark/>
          </w:tcPr>
          <w:p w14:paraId="4A750F1E" w14:textId="77777777" w:rsidR="00E21C93" w:rsidRPr="00E21C93" w:rsidRDefault="00E21C93" w:rsidP="00E21C93">
            <w:r w:rsidRPr="00E21C93">
              <w:t>11</w:t>
            </w:r>
          </w:p>
        </w:tc>
        <w:tc>
          <w:tcPr>
            <w:tcW w:w="0" w:type="auto"/>
            <w:vAlign w:val="center"/>
            <w:hideMark/>
          </w:tcPr>
          <w:p w14:paraId="07D1D82E" w14:textId="77777777" w:rsidR="00E21C93" w:rsidRPr="00E21C93" w:rsidRDefault="00E21C93" w:rsidP="00E21C93">
            <w:r w:rsidRPr="00E21C93">
              <w:t>18</w:t>
            </w:r>
          </w:p>
        </w:tc>
        <w:tc>
          <w:tcPr>
            <w:tcW w:w="0" w:type="auto"/>
            <w:vAlign w:val="center"/>
            <w:hideMark/>
          </w:tcPr>
          <w:p w14:paraId="185F0DDE" w14:textId="77777777" w:rsidR="00E21C93" w:rsidRPr="00E21C93" w:rsidRDefault="00E21C93" w:rsidP="00E21C93">
            <w:r w:rsidRPr="00E21C93">
              <w:t>7</w:t>
            </w:r>
          </w:p>
        </w:tc>
        <w:tc>
          <w:tcPr>
            <w:tcW w:w="0" w:type="auto"/>
            <w:vAlign w:val="center"/>
            <w:hideMark/>
          </w:tcPr>
          <w:p w14:paraId="11A3B71F" w14:textId="77777777" w:rsidR="00E21C93" w:rsidRPr="00E21C93" w:rsidRDefault="00E21C93" w:rsidP="00E21C93">
            <w:r w:rsidRPr="00E21C93">
              <w:t>46</w:t>
            </w:r>
          </w:p>
        </w:tc>
      </w:tr>
      <w:tr w:rsidR="00E21C93" w:rsidRPr="00E21C93" w14:paraId="73E27B95" w14:textId="77777777" w:rsidTr="00E21C93">
        <w:trPr>
          <w:tblCellSpacing w:w="15" w:type="dxa"/>
        </w:trPr>
        <w:tc>
          <w:tcPr>
            <w:tcW w:w="0" w:type="auto"/>
            <w:vAlign w:val="center"/>
            <w:hideMark/>
          </w:tcPr>
          <w:p w14:paraId="46005640" w14:textId="77777777" w:rsidR="00E21C93" w:rsidRPr="00E21C93" w:rsidRDefault="00E21C93" w:rsidP="00E21C93">
            <w:r w:rsidRPr="00E21C93">
              <w:t>Legal</w:t>
            </w:r>
          </w:p>
        </w:tc>
        <w:tc>
          <w:tcPr>
            <w:tcW w:w="0" w:type="auto"/>
            <w:vAlign w:val="center"/>
            <w:hideMark/>
          </w:tcPr>
          <w:p w14:paraId="15F9C173" w14:textId="77777777" w:rsidR="00E21C93" w:rsidRPr="00E21C93" w:rsidRDefault="00E21C93" w:rsidP="00E21C93">
            <w:r w:rsidRPr="00E21C93">
              <w:t>2</w:t>
            </w:r>
          </w:p>
        </w:tc>
        <w:tc>
          <w:tcPr>
            <w:tcW w:w="0" w:type="auto"/>
            <w:vAlign w:val="center"/>
            <w:hideMark/>
          </w:tcPr>
          <w:p w14:paraId="297F1758" w14:textId="77777777" w:rsidR="00E21C93" w:rsidRPr="00E21C93" w:rsidRDefault="00E21C93" w:rsidP="00E21C93">
            <w:r w:rsidRPr="00E21C93">
              <w:t>1</w:t>
            </w:r>
          </w:p>
        </w:tc>
        <w:tc>
          <w:tcPr>
            <w:tcW w:w="0" w:type="auto"/>
            <w:vAlign w:val="center"/>
            <w:hideMark/>
          </w:tcPr>
          <w:p w14:paraId="0BAF5826" w14:textId="77777777" w:rsidR="00E21C93" w:rsidRPr="00E21C93" w:rsidRDefault="00E21C93" w:rsidP="00E21C93">
            <w:r w:rsidRPr="00E21C93">
              <w:t>0</w:t>
            </w:r>
          </w:p>
        </w:tc>
        <w:tc>
          <w:tcPr>
            <w:tcW w:w="0" w:type="auto"/>
            <w:vAlign w:val="center"/>
            <w:hideMark/>
          </w:tcPr>
          <w:p w14:paraId="60D560BA" w14:textId="77777777" w:rsidR="00E21C93" w:rsidRPr="00E21C93" w:rsidRDefault="00E21C93" w:rsidP="00E21C93">
            <w:r w:rsidRPr="00E21C93">
              <w:t>3</w:t>
            </w:r>
          </w:p>
        </w:tc>
        <w:tc>
          <w:tcPr>
            <w:tcW w:w="0" w:type="auto"/>
            <w:vAlign w:val="center"/>
            <w:hideMark/>
          </w:tcPr>
          <w:p w14:paraId="74EC9EE0" w14:textId="77777777" w:rsidR="00E21C93" w:rsidRPr="00E21C93" w:rsidRDefault="00E21C93" w:rsidP="00E21C93">
            <w:r w:rsidRPr="00E21C93">
              <w:t>0</w:t>
            </w:r>
          </w:p>
        </w:tc>
        <w:tc>
          <w:tcPr>
            <w:tcW w:w="0" w:type="auto"/>
            <w:vAlign w:val="center"/>
            <w:hideMark/>
          </w:tcPr>
          <w:p w14:paraId="3497F960" w14:textId="77777777" w:rsidR="00E21C93" w:rsidRPr="00E21C93" w:rsidRDefault="00E21C93" w:rsidP="00E21C93">
            <w:r w:rsidRPr="00E21C93">
              <w:t>10</w:t>
            </w:r>
          </w:p>
        </w:tc>
        <w:tc>
          <w:tcPr>
            <w:tcW w:w="0" w:type="auto"/>
            <w:vAlign w:val="center"/>
            <w:hideMark/>
          </w:tcPr>
          <w:p w14:paraId="4546B769" w14:textId="77777777" w:rsidR="00E21C93" w:rsidRPr="00E21C93" w:rsidRDefault="00E21C93" w:rsidP="00E21C93">
            <w:r w:rsidRPr="00E21C93">
              <w:t>5</w:t>
            </w:r>
          </w:p>
        </w:tc>
        <w:tc>
          <w:tcPr>
            <w:tcW w:w="0" w:type="auto"/>
            <w:vAlign w:val="center"/>
            <w:hideMark/>
          </w:tcPr>
          <w:p w14:paraId="44F70153" w14:textId="77777777" w:rsidR="00E21C93" w:rsidRPr="00E21C93" w:rsidRDefault="00E21C93" w:rsidP="00E21C93">
            <w:r w:rsidRPr="00E21C93">
              <w:t>0</w:t>
            </w:r>
          </w:p>
        </w:tc>
        <w:tc>
          <w:tcPr>
            <w:tcW w:w="0" w:type="auto"/>
            <w:vAlign w:val="center"/>
            <w:hideMark/>
          </w:tcPr>
          <w:p w14:paraId="52FAA03F" w14:textId="77777777" w:rsidR="00E21C93" w:rsidRPr="00E21C93" w:rsidRDefault="00E21C93" w:rsidP="00E21C93">
            <w:r w:rsidRPr="00E21C93">
              <w:t>21</w:t>
            </w:r>
          </w:p>
        </w:tc>
      </w:tr>
      <w:tr w:rsidR="00E21C93" w:rsidRPr="00E21C93" w14:paraId="7A60F317" w14:textId="77777777" w:rsidTr="00E21C93">
        <w:trPr>
          <w:tblCellSpacing w:w="15" w:type="dxa"/>
        </w:trPr>
        <w:tc>
          <w:tcPr>
            <w:tcW w:w="0" w:type="auto"/>
            <w:vAlign w:val="center"/>
            <w:hideMark/>
          </w:tcPr>
          <w:p w14:paraId="52ABF625" w14:textId="77777777" w:rsidR="00E21C93" w:rsidRPr="00E21C93" w:rsidRDefault="00E21C93" w:rsidP="00E21C93">
            <w:r w:rsidRPr="00E21C93">
              <w:t>Logistics</w:t>
            </w:r>
          </w:p>
        </w:tc>
        <w:tc>
          <w:tcPr>
            <w:tcW w:w="0" w:type="auto"/>
            <w:vAlign w:val="center"/>
            <w:hideMark/>
          </w:tcPr>
          <w:p w14:paraId="2A0EBC64" w14:textId="77777777" w:rsidR="00E21C93" w:rsidRPr="00E21C93" w:rsidRDefault="00E21C93" w:rsidP="00E21C93">
            <w:r w:rsidRPr="00E21C93">
              <w:t>1</w:t>
            </w:r>
          </w:p>
        </w:tc>
        <w:tc>
          <w:tcPr>
            <w:tcW w:w="0" w:type="auto"/>
            <w:vAlign w:val="center"/>
            <w:hideMark/>
          </w:tcPr>
          <w:p w14:paraId="125DFEBB" w14:textId="77777777" w:rsidR="00E21C93" w:rsidRPr="00E21C93" w:rsidRDefault="00E21C93" w:rsidP="00E21C93">
            <w:r w:rsidRPr="00E21C93">
              <w:t>1</w:t>
            </w:r>
          </w:p>
        </w:tc>
        <w:tc>
          <w:tcPr>
            <w:tcW w:w="0" w:type="auto"/>
            <w:vAlign w:val="center"/>
            <w:hideMark/>
          </w:tcPr>
          <w:p w14:paraId="3B01FA77" w14:textId="77777777" w:rsidR="00E21C93" w:rsidRPr="00E21C93" w:rsidRDefault="00E21C93" w:rsidP="00E21C93">
            <w:r w:rsidRPr="00E21C93">
              <w:t>0</w:t>
            </w:r>
          </w:p>
        </w:tc>
        <w:tc>
          <w:tcPr>
            <w:tcW w:w="0" w:type="auto"/>
            <w:vAlign w:val="center"/>
            <w:hideMark/>
          </w:tcPr>
          <w:p w14:paraId="55F2795A" w14:textId="77777777" w:rsidR="00E21C93" w:rsidRPr="00E21C93" w:rsidRDefault="00E21C93" w:rsidP="00E21C93">
            <w:r w:rsidRPr="00E21C93">
              <w:t>1</w:t>
            </w:r>
          </w:p>
        </w:tc>
        <w:tc>
          <w:tcPr>
            <w:tcW w:w="0" w:type="auto"/>
            <w:vAlign w:val="center"/>
            <w:hideMark/>
          </w:tcPr>
          <w:p w14:paraId="52264E88" w14:textId="77777777" w:rsidR="00E21C93" w:rsidRPr="00E21C93" w:rsidRDefault="00E21C93" w:rsidP="00E21C93">
            <w:r w:rsidRPr="00E21C93">
              <w:t>1</w:t>
            </w:r>
          </w:p>
        </w:tc>
        <w:tc>
          <w:tcPr>
            <w:tcW w:w="0" w:type="auto"/>
            <w:vAlign w:val="center"/>
            <w:hideMark/>
          </w:tcPr>
          <w:p w14:paraId="229F9345" w14:textId="77777777" w:rsidR="00E21C93" w:rsidRPr="00E21C93" w:rsidRDefault="00E21C93" w:rsidP="00E21C93">
            <w:r w:rsidRPr="00E21C93">
              <w:t>19</w:t>
            </w:r>
          </w:p>
        </w:tc>
        <w:tc>
          <w:tcPr>
            <w:tcW w:w="0" w:type="auto"/>
            <w:vAlign w:val="center"/>
            <w:hideMark/>
          </w:tcPr>
          <w:p w14:paraId="5EE18C11" w14:textId="77777777" w:rsidR="00E21C93" w:rsidRPr="00E21C93" w:rsidRDefault="00E21C93" w:rsidP="00E21C93">
            <w:r w:rsidRPr="00E21C93">
              <w:t>2</w:t>
            </w:r>
          </w:p>
        </w:tc>
        <w:tc>
          <w:tcPr>
            <w:tcW w:w="0" w:type="auto"/>
            <w:vAlign w:val="center"/>
            <w:hideMark/>
          </w:tcPr>
          <w:p w14:paraId="0DC74564" w14:textId="77777777" w:rsidR="00E21C93" w:rsidRPr="00E21C93" w:rsidRDefault="00E21C93" w:rsidP="00E21C93">
            <w:r w:rsidRPr="00E21C93">
              <w:t>0</w:t>
            </w:r>
          </w:p>
        </w:tc>
        <w:tc>
          <w:tcPr>
            <w:tcW w:w="0" w:type="auto"/>
            <w:vAlign w:val="center"/>
            <w:hideMark/>
          </w:tcPr>
          <w:p w14:paraId="30BDBF4E" w14:textId="77777777" w:rsidR="00E21C93" w:rsidRPr="00E21C93" w:rsidRDefault="00E21C93" w:rsidP="00E21C93">
            <w:r w:rsidRPr="00E21C93">
              <w:t>24</w:t>
            </w:r>
          </w:p>
        </w:tc>
      </w:tr>
      <w:tr w:rsidR="00E21C93" w:rsidRPr="00E21C93" w14:paraId="568D6F2C" w14:textId="77777777" w:rsidTr="00E21C93">
        <w:trPr>
          <w:tblCellSpacing w:w="15" w:type="dxa"/>
        </w:trPr>
        <w:tc>
          <w:tcPr>
            <w:tcW w:w="0" w:type="auto"/>
            <w:vAlign w:val="center"/>
            <w:hideMark/>
          </w:tcPr>
          <w:p w14:paraId="745ABECD" w14:textId="77777777" w:rsidR="00E21C93" w:rsidRPr="00E21C93" w:rsidRDefault="00E21C93" w:rsidP="00E21C93">
            <w:r w:rsidRPr="00E21C93">
              <w:t>Managers</w:t>
            </w:r>
          </w:p>
        </w:tc>
        <w:tc>
          <w:tcPr>
            <w:tcW w:w="0" w:type="auto"/>
            <w:vAlign w:val="center"/>
            <w:hideMark/>
          </w:tcPr>
          <w:p w14:paraId="5856ABA4" w14:textId="77777777" w:rsidR="00E21C93" w:rsidRPr="00E21C93" w:rsidRDefault="00E21C93" w:rsidP="00E21C93">
            <w:r w:rsidRPr="00E21C93">
              <w:t>2</w:t>
            </w:r>
          </w:p>
        </w:tc>
        <w:tc>
          <w:tcPr>
            <w:tcW w:w="0" w:type="auto"/>
            <w:vAlign w:val="center"/>
            <w:hideMark/>
          </w:tcPr>
          <w:p w14:paraId="1003A572" w14:textId="77777777" w:rsidR="00E21C93" w:rsidRPr="00E21C93" w:rsidRDefault="00E21C93" w:rsidP="00E21C93">
            <w:r w:rsidRPr="00E21C93">
              <w:t>0</w:t>
            </w:r>
          </w:p>
        </w:tc>
        <w:tc>
          <w:tcPr>
            <w:tcW w:w="0" w:type="auto"/>
            <w:vAlign w:val="center"/>
            <w:hideMark/>
          </w:tcPr>
          <w:p w14:paraId="76EECB58" w14:textId="77777777" w:rsidR="00E21C93" w:rsidRPr="00E21C93" w:rsidRDefault="00E21C93" w:rsidP="00E21C93">
            <w:r w:rsidRPr="00E21C93">
              <w:t>1</w:t>
            </w:r>
          </w:p>
        </w:tc>
        <w:tc>
          <w:tcPr>
            <w:tcW w:w="0" w:type="auto"/>
            <w:vAlign w:val="center"/>
            <w:hideMark/>
          </w:tcPr>
          <w:p w14:paraId="41FBF35E" w14:textId="77777777" w:rsidR="00E21C93" w:rsidRPr="00E21C93" w:rsidRDefault="00E21C93" w:rsidP="00E21C93">
            <w:r w:rsidRPr="00E21C93">
              <w:t>12</w:t>
            </w:r>
          </w:p>
        </w:tc>
        <w:tc>
          <w:tcPr>
            <w:tcW w:w="0" w:type="auto"/>
            <w:vAlign w:val="center"/>
            <w:hideMark/>
          </w:tcPr>
          <w:p w14:paraId="79B4357C" w14:textId="77777777" w:rsidR="00E21C93" w:rsidRPr="00E21C93" w:rsidRDefault="00E21C93" w:rsidP="00E21C93">
            <w:r w:rsidRPr="00E21C93">
              <w:t>5</w:t>
            </w:r>
          </w:p>
        </w:tc>
        <w:tc>
          <w:tcPr>
            <w:tcW w:w="0" w:type="auto"/>
            <w:vAlign w:val="center"/>
            <w:hideMark/>
          </w:tcPr>
          <w:p w14:paraId="1174DC2C" w14:textId="77777777" w:rsidR="00E21C93" w:rsidRPr="00E21C93" w:rsidRDefault="00E21C93" w:rsidP="00E21C93">
            <w:r w:rsidRPr="00E21C93">
              <w:t>9</w:t>
            </w:r>
          </w:p>
        </w:tc>
        <w:tc>
          <w:tcPr>
            <w:tcW w:w="0" w:type="auto"/>
            <w:vAlign w:val="center"/>
            <w:hideMark/>
          </w:tcPr>
          <w:p w14:paraId="4B2F3CB4" w14:textId="77777777" w:rsidR="00E21C93" w:rsidRPr="00E21C93" w:rsidRDefault="00E21C93" w:rsidP="00E21C93">
            <w:r w:rsidRPr="00E21C93">
              <w:t>30</w:t>
            </w:r>
          </w:p>
        </w:tc>
        <w:tc>
          <w:tcPr>
            <w:tcW w:w="0" w:type="auto"/>
            <w:vAlign w:val="center"/>
            <w:hideMark/>
          </w:tcPr>
          <w:p w14:paraId="6E38B27C" w14:textId="77777777" w:rsidR="00E21C93" w:rsidRPr="00E21C93" w:rsidRDefault="00E21C93" w:rsidP="00E21C93">
            <w:r w:rsidRPr="00E21C93">
              <w:t>3</w:t>
            </w:r>
          </w:p>
        </w:tc>
        <w:tc>
          <w:tcPr>
            <w:tcW w:w="0" w:type="auto"/>
            <w:vAlign w:val="center"/>
            <w:hideMark/>
          </w:tcPr>
          <w:p w14:paraId="10242ADF" w14:textId="77777777" w:rsidR="00E21C93" w:rsidRPr="00E21C93" w:rsidRDefault="00E21C93" w:rsidP="00E21C93">
            <w:r w:rsidRPr="00E21C93">
              <w:t>62</w:t>
            </w:r>
          </w:p>
        </w:tc>
      </w:tr>
      <w:tr w:rsidR="00E21C93" w:rsidRPr="00E21C93" w14:paraId="28987E9A" w14:textId="77777777" w:rsidTr="00E21C93">
        <w:trPr>
          <w:tblCellSpacing w:w="15" w:type="dxa"/>
        </w:trPr>
        <w:tc>
          <w:tcPr>
            <w:tcW w:w="0" w:type="auto"/>
            <w:vAlign w:val="center"/>
            <w:hideMark/>
          </w:tcPr>
          <w:p w14:paraId="0AEED3BD" w14:textId="77777777" w:rsidR="00E21C93" w:rsidRPr="00E21C93" w:rsidRDefault="00E21C93" w:rsidP="00E21C93">
            <w:r w:rsidRPr="00E21C93">
              <w:t>Procurement</w:t>
            </w:r>
          </w:p>
        </w:tc>
        <w:tc>
          <w:tcPr>
            <w:tcW w:w="0" w:type="auto"/>
            <w:vAlign w:val="center"/>
            <w:hideMark/>
          </w:tcPr>
          <w:p w14:paraId="073DAA98" w14:textId="77777777" w:rsidR="00E21C93" w:rsidRPr="00E21C93" w:rsidRDefault="00E21C93" w:rsidP="00E21C93">
            <w:r w:rsidRPr="00E21C93">
              <w:t>0</w:t>
            </w:r>
          </w:p>
        </w:tc>
        <w:tc>
          <w:tcPr>
            <w:tcW w:w="0" w:type="auto"/>
            <w:vAlign w:val="center"/>
            <w:hideMark/>
          </w:tcPr>
          <w:p w14:paraId="63C62DC8" w14:textId="77777777" w:rsidR="00E21C93" w:rsidRPr="00E21C93" w:rsidRDefault="00E21C93" w:rsidP="00E21C93">
            <w:r w:rsidRPr="00E21C93">
              <w:t>0</w:t>
            </w:r>
          </w:p>
        </w:tc>
        <w:tc>
          <w:tcPr>
            <w:tcW w:w="0" w:type="auto"/>
            <w:vAlign w:val="center"/>
            <w:hideMark/>
          </w:tcPr>
          <w:p w14:paraId="44D74412" w14:textId="77777777" w:rsidR="00E21C93" w:rsidRPr="00E21C93" w:rsidRDefault="00E21C93" w:rsidP="00E21C93">
            <w:r w:rsidRPr="00E21C93">
              <w:t>0</w:t>
            </w:r>
          </w:p>
        </w:tc>
        <w:tc>
          <w:tcPr>
            <w:tcW w:w="0" w:type="auto"/>
            <w:vAlign w:val="center"/>
            <w:hideMark/>
          </w:tcPr>
          <w:p w14:paraId="115B4E65" w14:textId="77777777" w:rsidR="00E21C93" w:rsidRPr="00E21C93" w:rsidRDefault="00E21C93" w:rsidP="00E21C93">
            <w:r w:rsidRPr="00E21C93">
              <w:t>1</w:t>
            </w:r>
          </w:p>
        </w:tc>
        <w:tc>
          <w:tcPr>
            <w:tcW w:w="0" w:type="auto"/>
            <w:vAlign w:val="center"/>
            <w:hideMark/>
          </w:tcPr>
          <w:p w14:paraId="76DB22B9" w14:textId="77777777" w:rsidR="00E21C93" w:rsidRPr="00E21C93" w:rsidRDefault="00E21C93" w:rsidP="00E21C93">
            <w:r w:rsidRPr="00E21C93">
              <w:t>0</w:t>
            </w:r>
          </w:p>
        </w:tc>
        <w:tc>
          <w:tcPr>
            <w:tcW w:w="0" w:type="auto"/>
            <w:vAlign w:val="center"/>
            <w:hideMark/>
          </w:tcPr>
          <w:p w14:paraId="4FD00F96" w14:textId="77777777" w:rsidR="00E21C93" w:rsidRPr="00E21C93" w:rsidRDefault="00E21C93" w:rsidP="00E21C93">
            <w:r w:rsidRPr="00E21C93">
              <w:t>0</w:t>
            </w:r>
          </w:p>
        </w:tc>
        <w:tc>
          <w:tcPr>
            <w:tcW w:w="0" w:type="auto"/>
            <w:vAlign w:val="center"/>
            <w:hideMark/>
          </w:tcPr>
          <w:p w14:paraId="7BF2DB69" w14:textId="77777777" w:rsidR="00E21C93" w:rsidRPr="00E21C93" w:rsidRDefault="00E21C93" w:rsidP="00E21C93">
            <w:r w:rsidRPr="00E21C93">
              <w:t>0</w:t>
            </w:r>
          </w:p>
        </w:tc>
        <w:tc>
          <w:tcPr>
            <w:tcW w:w="0" w:type="auto"/>
            <w:vAlign w:val="center"/>
            <w:hideMark/>
          </w:tcPr>
          <w:p w14:paraId="2ED836E5" w14:textId="77777777" w:rsidR="00E21C93" w:rsidRPr="00E21C93" w:rsidRDefault="00E21C93" w:rsidP="00E21C93">
            <w:r w:rsidRPr="00E21C93">
              <w:t>0</w:t>
            </w:r>
          </w:p>
        </w:tc>
        <w:tc>
          <w:tcPr>
            <w:tcW w:w="0" w:type="auto"/>
            <w:vAlign w:val="center"/>
            <w:hideMark/>
          </w:tcPr>
          <w:p w14:paraId="37BEAA50" w14:textId="77777777" w:rsidR="00E21C93" w:rsidRPr="00E21C93" w:rsidRDefault="00E21C93" w:rsidP="00E21C93">
            <w:r w:rsidRPr="00E21C93">
              <w:t>1</w:t>
            </w:r>
          </w:p>
        </w:tc>
      </w:tr>
      <w:tr w:rsidR="00E21C93" w:rsidRPr="00E21C93" w14:paraId="2E2A4340" w14:textId="77777777" w:rsidTr="00E21C93">
        <w:trPr>
          <w:tblCellSpacing w:w="15" w:type="dxa"/>
        </w:trPr>
        <w:tc>
          <w:tcPr>
            <w:tcW w:w="0" w:type="auto"/>
            <w:vAlign w:val="center"/>
            <w:hideMark/>
          </w:tcPr>
          <w:p w14:paraId="7D3DB4FB" w14:textId="77777777" w:rsidR="00E21C93" w:rsidRPr="00E21C93" w:rsidRDefault="00E21C93" w:rsidP="00E21C93">
            <w:r w:rsidRPr="00E21C93">
              <w:t>Project Managers</w:t>
            </w:r>
          </w:p>
        </w:tc>
        <w:tc>
          <w:tcPr>
            <w:tcW w:w="0" w:type="auto"/>
            <w:vAlign w:val="center"/>
            <w:hideMark/>
          </w:tcPr>
          <w:p w14:paraId="4354F59F" w14:textId="77777777" w:rsidR="00E21C93" w:rsidRPr="00E21C93" w:rsidRDefault="00E21C93" w:rsidP="00E21C93">
            <w:r w:rsidRPr="00E21C93">
              <w:t>0</w:t>
            </w:r>
          </w:p>
        </w:tc>
        <w:tc>
          <w:tcPr>
            <w:tcW w:w="0" w:type="auto"/>
            <w:vAlign w:val="center"/>
            <w:hideMark/>
          </w:tcPr>
          <w:p w14:paraId="2D5FB8F1" w14:textId="77777777" w:rsidR="00E21C93" w:rsidRPr="00E21C93" w:rsidRDefault="00E21C93" w:rsidP="00E21C93">
            <w:r w:rsidRPr="00E21C93">
              <w:t>1</w:t>
            </w:r>
          </w:p>
        </w:tc>
        <w:tc>
          <w:tcPr>
            <w:tcW w:w="0" w:type="auto"/>
            <w:vAlign w:val="center"/>
            <w:hideMark/>
          </w:tcPr>
          <w:p w14:paraId="4C46C9C5" w14:textId="77777777" w:rsidR="00E21C93" w:rsidRPr="00E21C93" w:rsidRDefault="00E21C93" w:rsidP="00E21C93">
            <w:r w:rsidRPr="00E21C93">
              <w:t>1</w:t>
            </w:r>
          </w:p>
        </w:tc>
        <w:tc>
          <w:tcPr>
            <w:tcW w:w="0" w:type="auto"/>
            <w:vAlign w:val="center"/>
            <w:hideMark/>
          </w:tcPr>
          <w:p w14:paraId="52B76AB3" w14:textId="77777777" w:rsidR="00E21C93" w:rsidRPr="00E21C93" w:rsidRDefault="00E21C93" w:rsidP="00E21C93">
            <w:r w:rsidRPr="00E21C93">
              <w:t>6</w:t>
            </w:r>
          </w:p>
        </w:tc>
        <w:tc>
          <w:tcPr>
            <w:tcW w:w="0" w:type="auto"/>
            <w:vAlign w:val="center"/>
            <w:hideMark/>
          </w:tcPr>
          <w:p w14:paraId="61853097" w14:textId="77777777" w:rsidR="00E21C93" w:rsidRPr="00E21C93" w:rsidRDefault="00E21C93" w:rsidP="00E21C93">
            <w:r w:rsidRPr="00E21C93">
              <w:t>3</w:t>
            </w:r>
          </w:p>
        </w:tc>
        <w:tc>
          <w:tcPr>
            <w:tcW w:w="0" w:type="auto"/>
            <w:vAlign w:val="center"/>
            <w:hideMark/>
          </w:tcPr>
          <w:p w14:paraId="4DA5E958" w14:textId="77777777" w:rsidR="00E21C93" w:rsidRPr="00E21C93" w:rsidRDefault="00E21C93" w:rsidP="00E21C93">
            <w:r w:rsidRPr="00E21C93">
              <w:t>31</w:t>
            </w:r>
          </w:p>
        </w:tc>
        <w:tc>
          <w:tcPr>
            <w:tcW w:w="0" w:type="auto"/>
            <w:vAlign w:val="center"/>
            <w:hideMark/>
          </w:tcPr>
          <w:p w14:paraId="70F5C2A9" w14:textId="77777777" w:rsidR="00E21C93" w:rsidRPr="00E21C93" w:rsidRDefault="00E21C93" w:rsidP="00E21C93">
            <w:r w:rsidRPr="00E21C93">
              <w:t>18</w:t>
            </w:r>
          </w:p>
        </w:tc>
        <w:tc>
          <w:tcPr>
            <w:tcW w:w="0" w:type="auto"/>
            <w:vAlign w:val="center"/>
            <w:hideMark/>
          </w:tcPr>
          <w:p w14:paraId="1F39CA9A" w14:textId="77777777" w:rsidR="00E21C93" w:rsidRPr="00E21C93" w:rsidRDefault="00E21C93" w:rsidP="00E21C93">
            <w:r w:rsidRPr="00E21C93">
              <w:t>0</w:t>
            </w:r>
          </w:p>
        </w:tc>
        <w:tc>
          <w:tcPr>
            <w:tcW w:w="0" w:type="auto"/>
            <w:vAlign w:val="center"/>
            <w:hideMark/>
          </w:tcPr>
          <w:p w14:paraId="071E3D81" w14:textId="77777777" w:rsidR="00E21C93" w:rsidRPr="00E21C93" w:rsidRDefault="00E21C93" w:rsidP="00E21C93">
            <w:r w:rsidRPr="00E21C93">
              <w:t>60</w:t>
            </w:r>
          </w:p>
        </w:tc>
      </w:tr>
      <w:tr w:rsidR="00E21C93" w:rsidRPr="00E21C93" w14:paraId="1DE6E7A9" w14:textId="77777777" w:rsidTr="00E21C93">
        <w:trPr>
          <w:tblCellSpacing w:w="15" w:type="dxa"/>
        </w:trPr>
        <w:tc>
          <w:tcPr>
            <w:tcW w:w="0" w:type="auto"/>
            <w:vAlign w:val="center"/>
            <w:hideMark/>
          </w:tcPr>
          <w:p w14:paraId="2662A95F" w14:textId="77777777" w:rsidR="00E21C93" w:rsidRPr="00E21C93" w:rsidRDefault="00E21C93" w:rsidP="00E21C93">
            <w:r w:rsidRPr="00E21C93">
              <w:t>Technician - Engineering</w:t>
            </w:r>
          </w:p>
        </w:tc>
        <w:tc>
          <w:tcPr>
            <w:tcW w:w="0" w:type="auto"/>
            <w:vAlign w:val="center"/>
            <w:hideMark/>
          </w:tcPr>
          <w:p w14:paraId="3208610D" w14:textId="77777777" w:rsidR="00E21C93" w:rsidRPr="00E21C93" w:rsidRDefault="00E21C93" w:rsidP="00E21C93">
            <w:r w:rsidRPr="00E21C93">
              <w:t>2</w:t>
            </w:r>
          </w:p>
        </w:tc>
        <w:tc>
          <w:tcPr>
            <w:tcW w:w="0" w:type="auto"/>
            <w:vAlign w:val="center"/>
            <w:hideMark/>
          </w:tcPr>
          <w:p w14:paraId="06800AC4" w14:textId="77777777" w:rsidR="00E21C93" w:rsidRPr="00E21C93" w:rsidRDefault="00E21C93" w:rsidP="00E21C93">
            <w:r w:rsidRPr="00E21C93">
              <w:t>1</w:t>
            </w:r>
          </w:p>
        </w:tc>
        <w:tc>
          <w:tcPr>
            <w:tcW w:w="0" w:type="auto"/>
            <w:vAlign w:val="center"/>
            <w:hideMark/>
          </w:tcPr>
          <w:p w14:paraId="7929A8E9" w14:textId="77777777" w:rsidR="00E21C93" w:rsidRPr="00E21C93" w:rsidRDefault="00E21C93" w:rsidP="00E21C93">
            <w:r w:rsidRPr="00E21C93">
              <w:t>0</w:t>
            </w:r>
          </w:p>
        </w:tc>
        <w:tc>
          <w:tcPr>
            <w:tcW w:w="0" w:type="auto"/>
            <w:vAlign w:val="center"/>
            <w:hideMark/>
          </w:tcPr>
          <w:p w14:paraId="4E41FD30" w14:textId="77777777" w:rsidR="00E21C93" w:rsidRPr="00E21C93" w:rsidRDefault="00E21C93" w:rsidP="00E21C93">
            <w:r w:rsidRPr="00E21C93">
              <w:t>10</w:t>
            </w:r>
          </w:p>
        </w:tc>
        <w:tc>
          <w:tcPr>
            <w:tcW w:w="0" w:type="auto"/>
            <w:vAlign w:val="center"/>
            <w:hideMark/>
          </w:tcPr>
          <w:p w14:paraId="549AEEBB" w14:textId="77777777" w:rsidR="00E21C93" w:rsidRPr="00E21C93" w:rsidRDefault="00E21C93" w:rsidP="00E21C93">
            <w:r w:rsidRPr="00E21C93">
              <w:t>4</w:t>
            </w:r>
          </w:p>
        </w:tc>
        <w:tc>
          <w:tcPr>
            <w:tcW w:w="0" w:type="auto"/>
            <w:vAlign w:val="center"/>
            <w:hideMark/>
          </w:tcPr>
          <w:p w14:paraId="56C56309" w14:textId="77777777" w:rsidR="00E21C93" w:rsidRPr="00E21C93" w:rsidRDefault="00E21C93" w:rsidP="00E21C93">
            <w:r w:rsidRPr="00E21C93">
              <w:t>6</w:t>
            </w:r>
          </w:p>
        </w:tc>
        <w:tc>
          <w:tcPr>
            <w:tcW w:w="0" w:type="auto"/>
            <w:vAlign w:val="center"/>
            <w:hideMark/>
          </w:tcPr>
          <w:p w14:paraId="6D7527B5" w14:textId="77777777" w:rsidR="00E21C93" w:rsidRPr="00E21C93" w:rsidRDefault="00E21C93" w:rsidP="00E21C93">
            <w:r w:rsidRPr="00E21C93">
              <w:t>12</w:t>
            </w:r>
          </w:p>
        </w:tc>
        <w:tc>
          <w:tcPr>
            <w:tcW w:w="0" w:type="auto"/>
            <w:vAlign w:val="center"/>
            <w:hideMark/>
          </w:tcPr>
          <w:p w14:paraId="428149FB" w14:textId="77777777" w:rsidR="00E21C93" w:rsidRPr="00E21C93" w:rsidRDefault="00E21C93" w:rsidP="00E21C93">
            <w:r w:rsidRPr="00E21C93">
              <w:t>0</w:t>
            </w:r>
          </w:p>
        </w:tc>
        <w:tc>
          <w:tcPr>
            <w:tcW w:w="0" w:type="auto"/>
            <w:vAlign w:val="center"/>
            <w:hideMark/>
          </w:tcPr>
          <w:p w14:paraId="75000C5B" w14:textId="77777777" w:rsidR="00E21C93" w:rsidRPr="00E21C93" w:rsidRDefault="00E21C93" w:rsidP="00E21C93">
            <w:r w:rsidRPr="00E21C93">
              <w:t>35</w:t>
            </w:r>
          </w:p>
        </w:tc>
      </w:tr>
      <w:tr w:rsidR="00E21C93" w:rsidRPr="00E21C93" w14:paraId="3BDF5F18" w14:textId="77777777" w:rsidTr="00E21C93">
        <w:trPr>
          <w:tblCellSpacing w:w="15" w:type="dxa"/>
        </w:trPr>
        <w:tc>
          <w:tcPr>
            <w:tcW w:w="0" w:type="auto"/>
            <w:vAlign w:val="center"/>
            <w:hideMark/>
          </w:tcPr>
          <w:p w14:paraId="3E5207C0" w14:textId="77777777" w:rsidR="00E21C93" w:rsidRPr="00E21C93" w:rsidRDefault="00E21C93" w:rsidP="00E21C93">
            <w:r w:rsidRPr="00E21C93">
              <w:t>Trades</w:t>
            </w:r>
          </w:p>
        </w:tc>
        <w:tc>
          <w:tcPr>
            <w:tcW w:w="0" w:type="auto"/>
            <w:vAlign w:val="center"/>
            <w:hideMark/>
          </w:tcPr>
          <w:p w14:paraId="6C0023EB" w14:textId="77777777" w:rsidR="00E21C93" w:rsidRPr="00E21C93" w:rsidRDefault="00E21C93" w:rsidP="00E21C93">
            <w:r w:rsidRPr="00E21C93">
              <w:t>9</w:t>
            </w:r>
          </w:p>
        </w:tc>
        <w:tc>
          <w:tcPr>
            <w:tcW w:w="0" w:type="auto"/>
            <w:vAlign w:val="center"/>
            <w:hideMark/>
          </w:tcPr>
          <w:p w14:paraId="5C6EE009" w14:textId="77777777" w:rsidR="00E21C93" w:rsidRPr="00E21C93" w:rsidRDefault="00E21C93" w:rsidP="00E21C93">
            <w:r w:rsidRPr="00E21C93">
              <w:t>5</w:t>
            </w:r>
          </w:p>
        </w:tc>
        <w:tc>
          <w:tcPr>
            <w:tcW w:w="0" w:type="auto"/>
            <w:vAlign w:val="center"/>
            <w:hideMark/>
          </w:tcPr>
          <w:p w14:paraId="2495A83E" w14:textId="77777777" w:rsidR="00E21C93" w:rsidRPr="00E21C93" w:rsidRDefault="00E21C93" w:rsidP="00E21C93">
            <w:r w:rsidRPr="00E21C93">
              <w:t>2</w:t>
            </w:r>
          </w:p>
        </w:tc>
        <w:tc>
          <w:tcPr>
            <w:tcW w:w="0" w:type="auto"/>
            <w:vAlign w:val="center"/>
            <w:hideMark/>
          </w:tcPr>
          <w:p w14:paraId="1C640660" w14:textId="77777777" w:rsidR="00E21C93" w:rsidRPr="00E21C93" w:rsidRDefault="00E21C93" w:rsidP="00E21C93">
            <w:r w:rsidRPr="00E21C93">
              <w:t>16</w:t>
            </w:r>
          </w:p>
        </w:tc>
        <w:tc>
          <w:tcPr>
            <w:tcW w:w="0" w:type="auto"/>
            <w:vAlign w:val="center"/>
            <w:hideMark/>
          </w:tcPr>
          <w:p w14:paraId="44555F06" w14:textId="77777777" w:rsidR="00E21C93" w:rsidRPr="00E21C93" w:rsidRDefault="00E21C93" w:rsidP="00E21C93">
            <w:r w:rsidRPr="00E21C93">
              <w:t>1</w:t>
            </w:r>
          </w:p>
        </w:tc>
        <w:tc>
          <w:tcPr>
            <w:tcW w:w="0" w:type="auto"/>
            <w:vAlign w:val="center"/>
            <w:hideMark/>
          </w:tcPr>
          <w:p w14:paraId="1A2B5454" w14:textId="77777777" w:rsidR="00E21C93" w:rsidRPr="00E21C93" w:rsidRDefault="00E21C93" w:rsidP="00E21C93">
            <w:r w:rsidRPr="00E21C93">
              <w:t>71</w:t>
            </w:r>
          </w:p>
        </w:tc>
        <w:tc>
          <w:tcPr>
            <w:tcW w:w="0" w:type="auto"/>
            <w:vAlign w:val="center"/>
            <w:hideMark/>
          </w:tcPr>
          <w:p w14:paraId="0B4EEA9E" w14:textId="77777777" w:rsidR="00E21C93" w:rsidRPr="00E21C93" w:rsidRDefault="00E21C93" w:rsidP="00E21C93">
            <w:r w:rsidRPr="00E21C93">
              <w:t>63</w:t>
            </w:r>
          </w:p>
        </w:tc>
        <w:tc>
          <w:tcPr>
            <w:tcW w:w="0" w:type="auto"/>
            <w:vAlign w:val="center"/>
            <w:hideMark/>
          </w:tcPr>
          <w:p w14:paraId="6D8B698A" w14:textId="77777777" w:rsidR="00E21C93" w:rsidRPr="00E21C93" w:rsidRDefault="00E21C93" w:rsidP="00E21C93">
            <w:r w:rsidRPr="00E21C93">
              <w:t>6</w:t>
            </w:r>
          </w:p>
        </w:tc>
        <w:tc>
          <w:tcPr>
            <w:tcW w:w="0" w:type="auto"/>
            <w:vAlign w:val="center"/>
            <w:hideMark/>
          </w:tcPr>
          <w:p w14:paraId="185CD18A" w14:textId="77777777" w:rsidR="00E21C93" w:rsidRPr="00E21C93" w:rsidRDefault="00E21C93" w:rsidP="00E21C93">
            <w:r w:rsidRPr="00E21C93">
              <w:t>173</w:t>
            </w:r>
          </w:p>
        </w:tc>
      </w:tr>
      <w:tr w:rsidR="00E21C93" w:rsidRPr="00E21C93" w14:paraId="675A4516" w14:textId="77777777" w:rsidTr="00E21C93">
        <w:trPr>
          <w:tblCellSpacing w:w="15" w:type="dxa"/>
        </w:trPr>
        <w:tc>
          <w:tcPr>
            <w:tcW w:w="0" w:type="auto"/>
            <w:vAlign w:val="center"/>
            <w:hideMark/>
          </w:tcPr>
          <w:p w14:paraId="034FEBE5" w14:textId="77777777" w:rsidR="00E21C93" w:rsidRPr="00E21C93" w:rsidRDefault="00E21C93" w:rsidP="00E21C93">
            <w:r w:rsidRPr="00E21C93">
              <w:rPr>
                <w:b/>
                <w:bCs/>
              </w:rPr>
              <w:t>Grand Total</w:t>
            </w:r>
          </w:p>
        </w:tc>
        <w:tc>
          <w:tcPr>
            <w:tcW w:w="0" w:type="auto"/>
            <w:vAlign w:val="center"/>
            <w:hideMark/>
          </w:tcPr>
          <w:p w14:paraId="2C19714E" w14:textId="77777777" w:rsidR="00E21C93" w:rsidRPr="00E21C93" w:rsidRDefault="00E21C93" w:rsidP="00E21C93">
            <w:r w:rsidRPr="00E21C93">
              <w:t>38</w:t>
            </w:r>
          </w:p>
        </w:tc>
        <w:tc>
          <w:tcPr>
            <w:tcW w:w="0" w:type="auto"/>
            <w:vAlign w:val="center"/>
            <w:hideMark/>
          </w:tcPr>
          <w:p w14:paraId="671C9142" w14:textId="77777777" w:rsidR="00E21C93" w:rsidRPr="00E21C93" w:rsidRDefault="00E21C93" w:rsidP="00E21C93">
            <w:r w:rsidRPr="00E21C93">
              <w:t>17</w:t>
            </w:r>
          </w:p>
        </w:tc>
        <w:tc>
          <w:tcPr>
            <w:tcW w:w="0" w:type="auto"/>
            <w:vAlign w:val="center"/>
            <w:hideMark/>
          </w:tcPr>
          <w:p w14:paraId="4DFD6C3D" w14:textId="77777777" w:rsidR="00E21C93" w:rsidRPr="00E21C93" w:rsidRDefault="00E21C93" w:rsidP="00E21C93">
            <w:r w:rsidRPr="00E21C93">
              <w:t>15</w:t>
            </w:r>
          </w:p>
        </w:tc>
        <w:tc>
          <w:tcPr>
            <w:tcW w:w="0" w:type="auto"/>
            <w:vAlign w:val="center"/>
            <w:hideMark/>
          </w:tcPr>
          <w:p w14:paraId="0E2E4325" w14:textId="77777777" w:rsidR="00E21C93" w:rsidRPr="00E21C93" w:rsidRDefault="00E21C93" w:rsidP="00E21C93">
            <w:r w:rsidRPr="00E21C93">
              <w:t>134</w:t>
            </w:r>
          </w:p>
        </w:tc>
        <w:tc>
          <w:tcPr>
            <w:tcW w:w="0" w:type="auto"/>
            <w:vAlign w:val="center"/>
            <w:hideMark/>
          </w:tcPr>
          <w:p w14:paraId="1FD293E5" w14:textId="77777777" w:rsidR="00E21C93" w:rsidRPr="00E21C93" w:rsidRDefault="00E21C93" w:rsidP="00E21C93">
            <w:r w:rsidRPr="00E21C93">
              <w:t>35</w:t>
            </w:r>
          </w:p>
        </w:tc>
        <w:tc>
          <w:tcPr>
            <w:tcW w:w="0" w:type="auto"/>
            <w:vAlign w:val="center"/>
            <w:hideMark/>
          </w:tcPr>
          <w:p w14:paraId="6C808D88" w14:textId="77777777" w:rsidR="00E21C93" w:rsidRPr="00E21C93" w:rsidRDefault="00E21C93" w:rsidP="00E21C93">
            <w:r w:rsidRPr="00E21C93">
              <w:t>772</w:t>
            </w:r>
          </w:p>
        </w:tc>
        <w:tc>
          <w:tcPr>
            <w:tcW w:w="0" w:type="auto"/>
            <w:vAlign w:val="center"/>
            <w:hideMark/>
          </w:tcPr>
          <w:p w14:paraId="1AC29657" w14:textId="77777777" w:rsidR="00E21C93" w:rsidRPr="00E21C93" w:rsidRDefault="00E21C93" w:rsidP="00E21C93">
            <w:r w:rsidRPr="00E21C93">
              <w:t>359</w:t>
            </w:r>
          </w:p>
        </w:tc>
        <w:tc>
          <w:tcPr>
            <w:tcW w:w="0" w:type="auto"/>
            <w:vAlign w:val="center"/>
            <w:hideMark/>
          </w:tcPr>
          <w:p w14:paraId="360E4BB7" w14:textId="77777777" w:rsidR="00E21C93" w:rsidRPr="00E21C93" w:rsidRDefault="00E21C93" w:rsidP="00E21C93">
            <w:r w:rsidRPr="00E21C93">
              <w:t>34</w:t>
            </w:r>
          </w:p>
        </w:tc>
        <w:tc>
          <w:tcPr>
            <w:tcW w:w="0" w:type="auto"/>
            <w:vAlign w:val="center"/>
            <w:hideMark/>
          </w:tcPr>
          <w:p w14:paraId="5D7B8997" w14:textId="77777777" w:rsidR="00E21C93" w:rsidRPr="00E21C93" w:rsidRDefault="00E21C93" w:rsidP="00E21C93">
            <w:r w:rsidRPr="00E21C93">
              <w:t>1404</w:t>
            </w:r>
          </w:p>
        </w:tc>
      </w:tr>
    </w:tbl>
    <w:p w14:paraId="0D195807" w14:textId="77777777" w:rsidR="00E21C93" w:rsidRPr="00E21C93" w:rsidRDefault="00E21C93" w:rsidP="00E21C93">
      <w:pPr>
        <w:rPr>
          <w:b/>
          <w:bCs/>
        </w:rPr>
      </w:pPr>
      <w:r w:rsidRPr="00E21C93">
        <w:rPr>
          <w:b/>
          <w:bCs/>
        </w:rPr>
        <w:t>3. Analysis and Potential Problem Areas</w:t>
      </w:r>
    </w:p>
    <w:p w14:paraId="2052C1C3" w14:textId="77777777" w:rsidR="00E21C93" w:rsidRPr="00E21C93" w:rsidRDefault="00E21C93" w:rsidP="00E21C93">
      <w:r w:rsidRPr="00E21C93">
        <w:rPr>
          <w:b/>
          <w:bCs/>
        </w:rPr>
        <w:t>a. Turnover Trends by Occupation:</w:t>
      </w:r>
    </w:p>
    <w:p w14:paraId="21E018AE" w14:textId="77777777" w:rsidR="00E21C93" w:rsidRPr="00E21C93" w:rsidRDefault="00E21C93" w:rsidP="00E21C93">
      <w:pPr>
        <w:numPr>
          <w:ilvl w:val="0"/>
          <w:numId w:val="8"/>
        </w:numPr>
      </w:pPr>
      <w:r w:rsidRPr="00E21C93">
        <w:rPr>
          <w:b/>
          <w:bCs/>
        </w:rPr>
        <w:t>High Turnover Occupations:</w:t>
      </w:r>
    </w:p>
    <w:p w14:paraId="2D1F7F96" w14:textId="77777777" w:rsidR="00E21C93" w:rsidRPr="00E21C93" w:rsidRDefault="00E21C93" w:rsidP="00E21C93">
      <w:pPr>
        <w:numPr>
          <w:ilvl w:val="1"/>
          <w:numId w:val="8"/>
        </w:numPr>
      </w:pPr>
      <w:r w:rsidRPr="00E21C93">
        <w:rPr>
          <w:b/>
          <w:bCs/>
        </w:rPr>
        <w:t>Clerks/Assistants:</w:t>
      </w:r>
      <w:r w:rsidRPr="00E21C93">
        <w:t xml:space="preserve"> Highest total turnover, driven largely by layoffs and voluntary resignations. This suggests significant issues that may need addressing, such as job satisfaction or working conditions.</w:t>
      </w:r>
    </w:p>
    <w:p w14:paraId="2C6E760F" w14:textId="77777777" w:rsidR="00E21C93" w:rsidRPr="00E21C93" w:rsidRDefault="00E21C93" w:rsidP="00E21C93">
      <w:pPr>
        <w:numPr>
          <w:ilvl w:val="1"/>
          <w:numId w:val="8"/>
        </w:numPr>
      </w:pPr>
      <w:r w:rsidRPr="00E21C93">
        <w:rPr>
          <w:b/>
          <w:bCs/>
        </w:rPr>
        <w:t>Trades:</w:t>
      </w:r>
      <w:r w:rsidRPr="00E21C93">
        <w:t xml:space="preserve"> High turnover due to a combination of layoffs, resignations, and other factors. This may reflect issues in job stability or working conditions.</w:t>
      </w:r>
    </w:p>
    <w:p w14:paraId="24B3EBC0" w14:textId="77777777" w:rsidR="00E21C93" w:rsidRPr="00E21C93" w:rsidRDefault="00E21C93" w:rsidP="00E21C93">
      <w:pPr>
        <w:numPr>
          <w:ilvl w:val="0"/>
          <w:numId w:val="8"/>
        </w:numPr>
      </w:pPr>
      <w:r w:rsidRPr="00E21C93">
        <w:rPr>
          <w:b/>
          <w:bCs/>
        </w:rPr>
        <w:t>Critical Occupations:</w:t>
      </w:r>
    </w:p>
    <w:p w14:paraId="2567F779" w14:textId="77777777" w:rsidR="00E21C93" w:rsidRPr="00E21C93" w:rsidRDefault="00E21C93" w:rsidP="00E21C93">
      <w:pPr>
        <w:numPr>
          <w:ilvl w:val="1"/>
          <w:numId w:val="8"/>
        </w:numPr>
      </w:pPr>
      <w:r w:rsidRPr="00E21C93">
        <w:rPr>
          <w:b/>
          <w:bCs/>
        </w:rPr>
        <w:t>Engineers:</w:t>
      </w:r>
      <w:r w:rsidRPr="00E21C93">
        <w:t xml:space="preserve"> Significant turnover primarily from involuntary terminations and voluntary resignations. Given the critical role engineers play, this is a key area to monitor and manage.</w:t>
      </w:r>
    </w:p>
    <w:p w14:paraId="208DA4D1" w14:textId="77777777" w:rsidR="00E21C93" w:rsidRPr="00E21C93" w:rsidRDefault="00E21C93" w:rsidP="00E21C93">
      <w:r w:rsidRPr="00E21C93">
        <w:rPr>
          <w:b/>
          <w:bCs/>
        </w:rPr>
        <w:t>b. Turnover by Termination Reason:</w:t>
      </w:r>
    </w:p>
    <w:p w14:paraId="74F8A0D1" w14:textId="77777777" w:rsidR="00E21C93" w:rsidRPr="00E21C93" w:rsidRDefault="00E21C93" w:rsidP="00E21C93">
      <w:pPr>
        <w:numPr>
          <w:ilvl w:val="0"/>
          <w:numId w:val="9"/>
        </w:numPr>
      </w:pPr>
      <w:r w:rsidRPr="00E21C93">
        <w:rPr>
          <w:b/>
          <w:bCs/>
        </w:rPr>
        <w:t>Layoffs:</w:t>
      </w:r>
      <w:r w:rsidRPr="00E21C93">
        <w:t xml:space="preserve"> A significant contributor to turnover, particularly in occupations like Clerks/Assistants and Trades. This might suggest economic or structural changes affecting job stability.</w:t>
      </w:r>
    </w:p>
    <w:p w14:paraId="013E694A" w14:textId="77777777" w:rsidR="00E21C93" w:rsidRPr="00E21C93" w:rsidRDefault="00E21C93" w:rsidP="00E21C93">
      <w:pPr>
        <w:numPr>
          <w:ilvl w:val="0"/>
          <w:numId w:val="9"/>
        </w:numPr>
      </w:pPr>
      <w:r w:rsidRPr="00E21C93">
        <w:rPr>
          <w:b/>
          <w:bCs/>
        </w:rPr>
        <w:t>Resignations:</w:t>
      </w:r>
      <w:r w:rsidRPr="00E21C93">
        <w:t xml:space="preserve"> High in various occupations, indicating possible dissatisfaction or better opportunities elsewhere. Strategies to improve job satisfaction and retention could be beneficial.</w:t>
      </w:r>
    </w:p>
    <w:p w14:paraId="5259FCFF" w14:textId="77777777" w:rsidR="00E21C93" w:rsidRPr="00E21C93" w:rsidRDefault="00E21C93" w:rsidP="00E21C93">
      <w:pPr>
        <w:numPr>
          <w:ilvl w:val="0"/>
          <w:numId w:val="9"/>
        </w:numPr>
      </w:pPr>
      <w:r w:rsidRPr="00E21C93">
        <w:rPr>
          <w:b/>
          <w:bCs/>
        </w:rPr>
        <w:lastRenderedPageBreak/>
        <w:t>Health Reasons:</w:t>
      </w:r>
      <w:r w:rsidRPr="00E21C93">
        <w:t xml:space="preserve"> A smaller but notable category. Ensure adequate health and wellness support for employees.</w:t>
      </w:r>
    </w:p>
    <w:p w14:paraId="614B968E" w14:textId="77777777" w:rsidR="00E21C93" w:rsidRPr="00E21C93" w:rsidRDefault="00E21C93" w:rsidP="00E21C93">
      <w:r w:rsidRPr="00E21C93">
        <w:rPr>
          <w:b/>
          <w:bCs/>
        </w:rPr>
        <w:t>c. Potential Problem Areas:</w:t>
      </w:r>
    </w:p>
    <w:p w14:paraId="2BDBBBAD" w14:textId="77777777" w:rsidR="00E21C93" w:rsidRPr="00E21C93" w:rsidRDefault="00E21C93" w:rsidP="00E21C93">
      <w:pPr>
        <w:numPr>
          <w:ilvl w:val="0"/>
          <w:numId w:val="10"/>
        </w:numPr>
      </w:pPr>
      <w:r w:rsidRPr="00E21C93">
        <w:rPr>
          <w:b/>
          <w:bCs/>
        </w:rPr>
        <w:t>High Turnover in Certain Roles:</w:t>
      </w:r>
      <w:r w:rsidRPr="00E21C93">
        <w:t xml:space="preserve"> Focus on understanding and mitigating the causes of high turnover in critical roles like Clerks/Assistants and Engineers.</w:t>
      </w:r>
    </w:p>
    <w:p w14:paraId="27BB9984" w14:textId="77777777" w:rsidR="00E21C93" w:rsidRPr="00E21C93" w:rsidRDefault="00E21C93" w:rsidP="00E21C93">
      <w:pPr>
        <w:numPr>
          <w:ilvl w:val="0"/>
          <w:numId w:val="10"/>
        </w:numPr>
      </w:pPr>
      <w:r w:rsidRPr="00E21C93">
        <w:rPr>
          <w:b/>
          <w:bCs/>
        </w:rPr>
        <w:t>Frequent Layoffs:</w:t>
      </w:r>
      <w:r w:rsidRPr="00E21C93">
        <w:t xml:space="preserve"> Assess the causes behind frequent layoffs and explore alternatives to improve job security.</w:t>
      </w:r>
    </w:p>
    <w:p w14:paraId="62FD233C" w14:textId="77777777" w:rsidR="00E21C93" w:rsidRPr="00E21C93" w:rsidRDefault="00E21C93" w:rsidP="00E21C93">
      <w:pPr>
        <w:numPr>
          <w:ilvl w:val="0"/>
          <w:numId w:val="10"/>
        </w:numPr>
      </w:pPr>
      <w:r w:rsidRPr="00E21C93">
        <w:rPr>
          <w:b/>
          <w:bCs/>
        </w:rPr>
        <w:t>Employee Satisfaction:</w:t>
      </w:r>
      <w:r w:rsidRPr="00E21C93">
        <w:t xml:space="preserve"> Address high resignation rates by evaluating and improving workplace conditions, compensation, and career development opportunities.</w:t>
      </w:r>
    </w:p>
    <w:p w14:paraId="243D9D2D" w14:textId="77777777" w:rsidR="00E21C93" w:rsidRPr="00E21C93" w:rsidRDefault="00E21C93" w:rsidP="00E21C93">
      <w:pPr>
        <w:rPr>
          <w:b/>
          <w:bCs/>
        </w:rPr>
      </w:pPr>
      <w:r w:rsidRPr="00E21C93">
        <w:rPr>
          <w:b/>
          <w:bCs/>
        </w:rPr>
        <w:t>4. Recommendations</w:t>
      </w:r>
    </w:p>
    <w:p w14:paraId="6AC37BCC" w14:textId="77777777" w:rsidR="00E21C93" w:rsidRPr="00E21C93" w:rsidRDefault="00E21C93" w:rsidP="00E21C93">
      <w:pPr>
        <w:numPr>
          <w:ilvl w:val="0"/>
          <w:numId w:val="11"/>
        </w:numPr>
      </w:pPr>
      <w:r w:rsidRPr="00E21C93">
        <w:rPr>
          <w:b/>
          <w:bCs/>
        </w:rPr>
        <w:t>Improve Retention Strategies:</w:t>
      </w:r>
    </w:p>
    <w:p w14:paraId="687120A4" w14:textId="77777777" w:rsidR="00E21C93" w:rsidRPr="00E21C93" w:rsidRDefault="00E21C93" w:rsidP="00E21C93">
      <w:pPr>
        <w:numPr>
          <w:ilvl w:val="1"/>
          <w:numId w:val="11"/>
        </w:numPr>
      </w:pPr>
      <w:r w:rsidRPr="00E21C93">
        <w:rPr>
          <w:b/>
          <w:bCs/>
        </w:rPr>
        <w:t>Employee Engagement:</w:t>
      </w:r>
      <w:r w:rsidRPr="00E21C93">
        <w:t xml:space="preserve"> Enhance engagement through better communication, recognition programs, and career development opportunities.</w:t>
      </w:r>
    </w:p>
    <w:p w14:paraId="56FE241F" w14:textId="77777777" w:rsidR="00E21C93" w:rsidRPr="00E21C93" w:rsidRDefault="00E21C93" w:rsidP="00E21C93">
      <w:pPr>
        <w:numPr>
          <w:ilvl w:val="1"/>
          <w:numId w:val="11"/>
        </w:numPr>
      </w:pPr>
      <w:r w:rsidRPr="00E21C93">
        <w:rPr>
          <w:b/>
          <w:bCs/>
        </w:rPr>
        <w:t>Competitive Compensation:</w:t>
      </w:r>
      <w:r w:rsidRPr="00E21C93">
        <w:t xml:space="preserve"> Regularly review and adjust compensation and benefits to remain competitive and attractive to current and potential employees.</w:t>
      </w:r>
    </w:p>
    <w:p w14:paraId="6EBC8C5B" w14:textId="77777777" w:rsidR="00E21C93" w:rsidRPr="00E21C93" w:rsidRDefault="00E21C93" w:rsidP="00E21C93">
      <w:pPr>
        <w:numPr>
          <w:ilvl w:val="0"/>
          <w:numId w:val="11"/>
        </w:numPr>
      </w:pPr>
      <w:r w:rsidRPr="00E21C93">
        <w:rPr>
          <w:b/>
          <w:bCs/>
        </w:rPr>
        <w:t>Address Layoffs and Resignations:</w:t>
      </w:r>
    </w:p>
    <w:p w14:paraId="526169C1" w14:textId="77777777" w:rsidR="00E21C93" w:rsidRPr="00E21C93" w:rsidRDefault="00E21C93" w:rsidP="00E21C93">
      <w:pPr>
        <w:numPr>
          <w:ilvl w:val="1"/>
          <w:numId w:val="11"/>
        </w:numPr>
      </w:pPr>
      <w:r w:rsidRPr="00E21C93">
        <w:rPr>
          <w:b/>
          <w:bCs/>
        </w:rPr>
        <w:t>Layoff Alternatives:</w:t>
      </w:r>
      <w:r w:rsidRPr="00E21C93">
        <w:t xml:space="preserve"> Explore restructuring options, temporary adjustments, or other strategies to reduce the need for layoffs.</w:t>
      </w:r>
    </w:p>
    <w:p w14:paraId="7E230420" w14:textId="77777777" w:rsidR="00E21C93" w:rsidRPr="00E21C93" w:rsidRDefault="00E21C93" w:rsidP="00E21C93">
      <w:pPr>
        <w:numPr>
          <w:ilvl w:val="1"/>
          <w:numId w:val="11"/>
        </w:numPr>
      </w:pPr>
      <w:r w:rsidRPr="00E21C93">
        <w:rPr>
          <w:b/>
          <w:bCs/>
        </w:rPr>
        <w:t>Resignation Mitigation:</w:t>
      </w:r>
      <w:r w:rsidRPr="00E21C93">
        <w:t xml:space="preserve"> Implement measures to understand and address the reasons behind resignations. Conduct exit interviews to gather insights.</w:t>
      </w:r>
    </w:p>
    <w:p w14:paraId="206238DC" w14:textId="77777777" w:rsidR="00E21C93" w:rsidRPr="00E21C93" w:rsidRDefault="00E21C93" w:rsidP="00E21C93">
      <w:pPr>
        <w:numPr>
          <w:ilvl w:val="0"/>
          <w:numId w:val="11"/>
        </w:numPr>
      </w:pPr>
      <w:r w:rsidRPr="00E21C93">
        <w:rPr>
          <w:b/>
          <w:bCs/>
        </w:rPr>
        <w:t>Enhance Health and Wellness Programs:</w:t>
      </w:r>
    </w:p>
    <w:p w14:paraId="732C25B6" w14:textId="77777777" w:rsidR="00E21C93" w:rsidRPr="00E21C93" w:rsidRDefault="00E21C93" w:rsidP="00E21C93">
      <w:pPr>
        <w:numPr>
          <w:ilvl w:val="1"/>
          <w:numId w:val="11"/>
        </w:numPr>
      </w:pPr>
      <w:r w:rsidRPr="00E21C93">
        <w:t>Provide support for employees facing health-related issues, including comprehensive health benefits and wellness programs.</w:t>
      </w:r>
    </w:p>
    <w:p w14:paraId="7FAFB67E" w14:textId="77777777" w:rsidR="00E21C93" w:rsidRPr="00E21C93" w:rsidRDefault="00E21C93" w:rsidP="00E21C93">
      <w:pPr>
        <w:numPr>
          <w:ilvl w:val="0"/>
          <w:numId w:val="11"/>
        </w:numPr>
      </w:pPr>
      <w:r w:rsidRPr="00E21C93">
        <w:rPr>
          <w:b/>
          <w:bCs/>
        </w:rPr>
        <w:t>Focus on Critical Occupations:</w:t>
      </w:r>
    </w:p>
    <w:p w14:paraId="12F8F7E3" w14:textId="77777777" w:rsidR="00E21C93" w:rsidRPr="00E21C93" w:rsidRDefault="00E21C93" w:rsidP="00E21C93">
      <w:pPr>
        <w:numPr>
          <w:ilvl w:val="1"/>
          <w:numId w:val="11"/>
        </w:numPr>
      </w:pPr>
      <w:r w:rsidRPr="00E21C93">
        <w:t>Develop targeted retention and succession plans for roles with high turnover to ensure continuity and minimize disruptions.</w:t>
      </w:r>
    </w:p>
    <w:p w14:paraId="744A7988" w14:textId="77777777" w:rsidR="00E21C93" w:rsidRPr="00E21C93" w:rsidRDefault="00E21C93" w:rsidP="00E21C93">
      <w:r w:rsidRPr="00E21C93">
        <w:t>By addressing these areas, your organization can better manage turnover, improve employee satisfaction, and maintain operational effectiveness.</w:t>
      </w:r>
    </w:p>
    <w:p w14:paraId="68254DD7" w14:textId="77777777" w:rsidR="00E21C93" w:rsidRPr="00E21C93" w:rsidRDefault="00E21C93" w:rsidP="00E21C93">
      <w:pPr>
        <w:rPr>
          <w:vanish/>
        </w:rPr>
      </w:pPr>
      <w:r w:rsidRPr="00E21C93">
        <w:rPr>
          <w:vanish/>
        </w:rPr>
        <w:t>Top of Form</w:t>
      </w:r>
    </w:p>
    <w:p w14:paraId="7A281F79" w14:textId="77777777" w:rsidR="00E21C93" w:rsidRPr="00E21C93" w:rsidRDefault="00E21C93" w:rsidP="00E21C93">
      <w:pPr>
        <w:rPr>
          <w:vanish/>
        </w:rPr>
      </w:pPr>
      <w:r w:rsidRPr="00E21C93">
        <w:rPr>
          <w:vanish/>
        </w:rPr>
        <w:t>Bottom of Form</w:t>
      </w:r>
    </w:p>
    <w:bookmarkEnd w:id="0"/>
    <w:p w14:paraId="4D53AD52" w14:textId="77777777" w:rsidR="00E21C93" w:rsidRDefault="00E21C93"/>
    <w:sectPr w:rsidR="00E21C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74708"/>
    <w:multiLevelType w:val="multilevel"/>
    <w:tmpl w:val="9604A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C5069"/>
    <w:multiLevelType w:val="multilevel"/>
    <w:tmpl w:val="24D20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06280"/>
    <w:multiLevelType w:val="multilevel"/>
    <w:tmpl w:val="350EB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06125"/>
    <w:multiLevelType w:val="multilevel"/>
    <w:tmpl w:val="19E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D2E63"/>
    <w:multiLevelType w:val="multilevel"/>
    <w:tmpl w:val="86645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82376"/>
    <w:multiLevelType w:val="multilevel"/>
    <w:tmpl w:val="1B90D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F10EB"/>
    <w:multiLevelType w:val="multilevel"/>
    <w:tmpl w:val="8EB2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356C3"/>
    <w:multiLevelType w:val="multilevel"/>
    <w:tmpl w:val="739EE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D78F4"/>
    <w:multiLevelType w:val="multilevel"/>
    <w:tmpl w:val="F6DC0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C70BE"/>
    <w:multiLevelType w:val="multilevel"/>
    <w:tmpl w:val="EF7AC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91F2E"/>
    <w:multiLevelType w:val="multilevel"/>
    <w:tmpl w:val="D278C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190711">
    <w:abstractNumId w:val="9"/>
  </w:num>
  <w:num w:numId="2" w16cid:durableId="1886793246">
    <w:abstractNumId w:val="8"/>
  </w:num>
  <w:num w:numId="3" w16cid:durableId="1309822208">
    <w:abstractNumId w:val="1"/>
  </w:num>
  <w:num w:numId="4" w16cid:durableId="69928983">
    <w:abstractNumId w:val="5"/>
  </w:num>
  <w:num w:numId="5" w16cid:durableId="2083017505">
    <w:abstractNumId w:val="10"/>
  </w:num>
  <w:num w:numId="6" w16cid:durableId="1537965408">
    <w:abstractNumId w:val="0"/>
  </w:num>
  <w:num w:numId="7" w16cid:durableId="1973636575">
    <w:abstractNumId w:val="2"/>
  </w:num>
  <w:num w:numId="8" w16cid:durableId="881213670">
    <w:abstractNumId w:val="7"/>
  </w:num>
  <w:num w:numId="9" w16cid:durableId="133375039">
    <w:abstractNumId w:val="6"/>
  </w:num>
  <w:num w:numId="10" w16cid:durableId="639309713">
    <w:abstractNumId w:val="3"/>
  </w:num>
  <w:num w:numId="11" w16cid:durableId="155461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82"/>
    <w:rsid w:val="00126ADD"/>
    <w:rsid w:val="002E5C7C"/>
    <w:rsid w:val="002F363F"/>
    <w:rsid w:val="004B4F82"/>
    <w:rsid w:val="008001B4"/>
    <w:rsid w:val="008734E2"/>
    <w:rsid w:val="00A01FBD"/>
    <w:rsid w:val="00C05D82"/>
    <w:rsid w:val="00E21C93"/>
    <w:rsid w:val="00E77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8753F4"/>
  <w15:chartTrackingRefBased/>
  <w15:docId w15:val="{F15046F8-0610-A54C-81C3-A472F8AA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D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D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D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D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D82"/>
    <w:rPr>
      <w:rFonts w:eastAsiaTheme="majorEastAsia" w:cstheme="majorBidi"/>
      <w:color w:val="272727" w:themeColor="text1" w:themeTint="D8"/>
    </w:rPr>
  </w:style>
  <w:style w:type="paragraph" w:styleId="Title">
    <w:name w:val="Title"/>
    <w:basedOn w:val="Normal"/>
    <w:next w:val="Normal"/>
    <w:link w:val="TitleChar"/>
    <w:uiPriority w:val="10"/>
    <w:qFormat/>
    <w:rsid w:val="00C05D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D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D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5D82"/>
    <w:rPr>
      <w:i/>
      <w:iCs/>
      <w:color w:val="404040" w:themeColor="text1" w:themeTint="BF"/>
    </w:rPr>
  </w:style>
  <w:style w:type="paragraph" w:styleId="ListParagraph">
    <w:name w:val="List Paragraph"/>
    <w:basedOn w:val="Normal"/>
    <w:uiPriority w:val="34"/>
    <w:qFormat/>
    <w:rsid w:val="00C05D82"/>
    <w:pPr>
      <w:ind w:left="720"/>
      <w:contextualSpacing/>
    </w:pPr>
  </w:style>
  <w:style w:type="character" w:styleId="IntenseEmphasis">
    <w:name w:val="Intense Emphasis"/>
    <w:basedOn w:val="DefaultParagraphFont"/>
    <w:uiPriority w:val="21"/>
    <w:qFormat/>
    <w:rsid w:val="00C05D82"/>
    <w:rPr>
      <w:i/>
      <w:iCs/>
      <w:color w:val="0F4761" w:themeColor="accent1" w:themeShade="BF"/>
    </w:rPr>
  </w:style>
  <w:style w:type="paragraph" w:styleId="IntenseQuote">
    <w:name w:val="Intense Quote"/>
    <w:basedOn w:val="Normal"/>
    <w:next w:val="Normal"/>
    <w:link w:val="IntenseQuoteChar"/>
    <w:uiPriority w:val="30"/>
    <w:qFormat/>
    <w:rsid w:val="00C05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D82"/>
    <w:rPr>
      <w:i/>
      <w:iCs/>
      <w:color w:val="0F4761" w:themeColor="accent1" w:themeShade="BF"/>
    </w:rPr>
  </w:style>
  <w:style w:type="character" w:styleId="IntenseReference">
    <w:name w:val="Intense Reference"/>
    <w:basedOn w:val="DefaultParagraphFont"/>
    <w:uiPriority w:val="32"/>
    <w:qFormat/>
    <w:rsid w:val="00C05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8669">
      <w:bodyDiv w:val="1"/>
      <w:marLeft w:val="0"/>
      <w:marRight w:val="0"/>
      <w:marTop w:val="0"/>
      <w:marBottom w:val="0"/>
      <w:divBdr>
        <w:top w:val="none" w:sz="0" w:space="0" w:color="auto"/>
        <w:left w:val="none" w:sz="0" w:space="0" w:color="auto"/>
        <w:bottom w:val="none" w:sz="0" w:space="0" w:color="auto"/>
        <w:right w:val="none" w:sz="0" w:space="0" w:color="auto"/>
      </w:divBdr>
      <w:divsChild>
        <w:div w:id="376859806">
          <w:marLeft w:val="0"/>
          <w:marRight w:val="0"/>
          <w:marTop w:val="0"/>
          <w:marBottom w:val="0"/>
          <w:divBdr>
            <w:top w:val="none" w:sz="0" w:space="0" w:color="auto"/>
            <w:left w:val="none" w:sz="0" w:space="0" w:color="auto"/>
            <w:bottom w:val="none" w:sz="0" w:space="0" w:color="auto"/>
            <w:right w:val="none" w:sz="0" w:space="0" w:color="auto"/>
          </w:divBdr>
          <w:divsChild>
            <w:div w:id="1344740258">
              <w:marLeft w:val="0"/>
              <w:marRight w:val="0"/>
              <w:marTop w:val="0"/>
              <w:marBottom w:val="0"/>
              <w:divBdr>
                <w:top w:val="none" w:sz="0" w:space="0" w:color="auto"/>
                <w:left w:val="none" w:sz="0" w:space="0" w:color="auto"/>
                <w:bottom w:val="none" w:sz="0" w:space="0" w:color="auto"/>
                <w:right w:val="none" w:sz="0" w:space="0" w:color="auto"/>
              </w:divBdr>
              <w:divsChild>
                <w:div w:id="1964922464">
                  <w:marLeft w:val="0"/>
                  <w:marRight w:val="0"/>
                  <w:marTop w:val="0"/>
                  <w:marBottom w:val="0"/>
                  <w:divBdr>
                    <w:top w:val="none" w:sz="0" w:space="0" w:color="auto"/>
                    <w:left w:val="none" w:sz="0" w:space="0" w:color="auto"/>
                    <w:bottom w:val="none" w:sz="0" w:space="0" w:color="auto"/>
                    <w:right w:val="none" w:sz="0" w:space="0" w:color="auto"/>
                  </w:divBdr>
                  <w:divsChild>
                    <w:div w:id="574978880">
                      <w:marLeft w:val="0"/>
                      <w:marRight w:val="0"/>
                      <w:marTop w:val="0"/>
                      <w:marBottom w:val="0"/>
                      <w:divBdr>
                        <w:top w:val="none" w:sz="0" w:space="0" w:color="auto"/>
                        <w:left w:val="none" w:sz="0" w:space="0" w:color="auto"/>
                        <w:bottom w:val="none" w:sz="0" w:space="0" w:color="auto"/>
                        <w:right w:val="none" w:sz="0" w:space="0" w:color="auto"/>
                      </w:divBdr>
                      <w:divsChild>
                        <w:div w:id="287518117">
                          <w:marLeft w:val="0"/>
                          <w:marRight w:val="0"/>
                          <w:marTop w:val="0"/>
                          <w:marBottom w:val="0"/>
                          <w:divBdr>
                            <w:top w:val="none" w:sz="0" w:space="0" w:color="auto"/>
                            <w:left w:val="none" w:sz="0" w:space="0" w:color="auto"/>
                            <w:bottom w:val="none" w:sz="0" w:space="0" w:color="auto"/>
                            <w:right w:val="none" w:sz="0" w:space="0" w:color="auto"/>
                          </w:divBdr>
                          <w:divsChild>
                            <w:div w:id="951320713">
                              <w:marLeft w:val="0"/>
                              <w:marRight w:val="0"/>
                              <w:marTop w:val="0"/>
                              <w:marBottom w:val="0"/>
                              <w:divBdr>
                                <w:top w:val="none" w:sz="0" w:space="0" w:color="auto"/>
                                <w:left w:val="none" w:sz="0" w:space="0" w:color="auto"/>
                                <w:bottom w:val="none" w:sz="0" w:space="0" w:color="auto"/>
                                <w:right w:val="none" w:sz="0" w:space="0" w:color="auto"/>
                              </w:divBdr>
                              <w:divsChild>
                                <w:div w:id="1817255429">
                                  <w:marLeft w:val="0"/>
                                  <w:marRight w:val="0"/>
                                  <w:marTop w:val="0"/>
                                  <w:marBottom w:val="0"/>
                                  <w:divBdr>
                                    <w:top w:val="none" w:sz="0" w:space="0" w:color="auto"/>
                                    <w:left w:val="none" w:sz="0" w:space="0" w:color="auto"/>
                                    <w:bottom w:val="none" w:sz="0" w:space="0" w:color="auto"/>
                                    <w:right w:val="none" w:sz="0" w:space="0" w:color="auto"/>
                                  </w:divBdr>
                                  <w:divsChild>
                                    <w:div w:id="327444093">
                                      <w:marLeft w:val="0"/>
                                      <w:marRight w:val="0"/>
                                      <w:marTop w:val="0"/>
                                      <w:marBottom w:val="0"/>
                                      <w:divBdr>
                                        <w:top w:val="none" w:sz="0" w:space="0" w:color="auto"/>
                                        <w:left w:val="none" w:sz="0" w:space="0" w:color="auto"/>
                                        <w:bottom w:val="none" w:sz="0" w:space="0" w:color="auto"/>
                                        <w:right w:val="none" w:sz="0" w:space="0" w:color="auto"/>
                                      </w:divBdr>
                                      <w:divsChild>
                                        <w:div w:id="1209997274">
                                          <w:marLeft w:val="0"/>
                                          <w:marRight w:val="0"/>
                                          <w:marTop w:val="0"/>
                                          <w:marBottom w:val="0"/>
                                          <w:divBdr>
                                            <w:top w:val="none" w:sz="0" w:space="0" w:color="auto"/>
                                            <w:left w:val="none" w:sz="0" w:space="0" w:color="auto"/>
                                            <w:bottom w:val="none" w:sz="0" w:space="0" w:color="auto"/>
                                            <w:right w:val="none" w:sz="0" w:space="0" w:color="auto"/>
                                          </w:divBdr>
                                          <w:divsChild>
                                            <w:div w:id="927227215">
                                              <w:marLeft w:val="0"/>
                                              <w:marRight w:val="0"/>
                                              <w:marTop w:val="0"/>
                                              <w:marBottom w:val="0"/>
                                              <w:divBdr>
                                                <w:top w:val="none" w:sz="0" w:space="0" w:color="auto"/>
                                                <w:left w:val="none" w:sz="0" w:space="0" w:color="auto"/>
                                                <w:bottom w:val="none" w:sz="0" w:space="0" w:color="auto"/>
                                                <w:right w:val="none" w:sz="0" w:space="0" w:color="auto"/>
                                              </w:divBdr>
                                              <w:divsChild>
                                                <w:div w:id="604659146">
                                                  <w:marLeft w:val="0"/>
                                                  <w:marRight w:val="0"/>
                                                  <w:marTop w:val="0"/>
                                                  <w:marBottom w:val="0"/>
                                                  <w:divBdr>
                                                    <w:top w:val="none" w:sz="0" w:space="0" w:color="auto"/>
                                                    <w:left w:val="none" w:sz="0" w:space="0" w:color="auto"/>
                                                    <w:bottom w:val="none" w:sz="0" w:space="0" w:color="auto"/>
                                                    <w:right w:val="none" w:sz="0" w:space="0" w:color="auto"/>
                                                  </w:divBdr>
                                                  <w:divsChild>
                                                    <w:div w:id="1843467790">
                                                      <w:marLeft w:val="0"/>
                                                      <w:marRight w:val="0"/>
                                                      <w:marTop w:val="0"/>
                                                      <w:marBottom w:val="0"/>
                                                      <w:divBdr>
                                                        <w:top w:val="none" w:sz="0" w:space="0" w:color="auto"/>
                                                        <w:left w:val="none" w:sz="0" w:space="0" w:color="auto"/>
                                                        <w:bottom w:val="none" w:sz="0" w:space="0" w:color="auto"/>
                                                        <w:right w:val="none" w:sz="0" w:space="0" w:color="auto"/>
                                                      </w:divBdr>
                                                      <w:divsChild>
                                                        <w:div w:id="14368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2134280">
          <w:marLeft w:val="0"/>
          <w:marRight w:val="0"/>
          <w:marTop w:val="0"/>
          <w:marBottom w:val="0"/>
          <w:divBdr>
            <w:top w:val="none" w:sz="0" w:space="0" w:color="auto"/>
            <w:left w:val="none" w:sz="0" w:space="0" w:color="auto"/>
            <w:bottom w:val="none" w:sz="0" w:space="0" w:color="auto"/>
            <w:right w:val="none" w:sz="0" w:space="0" w:color="auto"/>
          </w:divBdr>
          <w:divsChild>
            <w:div w:id="168329144">
              <w:marLeft w:val="0"/>
              <w:marRight w:val="0"/>
              <w:marTop w:val="0"/>
              <w:marBottom w:val="0"/>
              <w:divBdr>
                <w:top w:val="none" w:sz="0" w:space="0" w:color="auto"/>
                <w:left w:val="none" w:sz="0" w:space="0" w:color="auto"/>
                <w:bottom w:val="none" w:sz="0" w:space="0" w:color="auto"/>
                <w:right w:val="none" w:sz="0" w:space="0" w:color="auto"/>
              </w:divBdr>
              <w:divsChild>
                <w:div w:id="579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9355">
      <w:bodyDiv w:val="1"/>
      <w:marLeft w:val="0"/>
      <w:marRight w:val="0"/>
      <w:marTop w:val="0"/>
      <w:marBottom w:val="0"/>
      <w:divBdr>
        <w:top w:val="none" w:sz="0" w:space="0" w:color="auto"/>
        <w:left w:val="none" w:sz="0" w:space="0" w:color="auto"/>
        <w:bottom w:val="none" w:sz="0" w:space="0" w:color="auto"/>
        <w:right w:val="none" w:sz="0" w:space="0" w:color="auto"/>
      </w:divBdr>
      <w:divsChild>
        <w:div w:id="2057772172">
          <w:marLeft w:val="0"/>
          <w:marRight w:val="0"/>
          <w:marTop w:val="0"/>
          <w:marBottom w:val="0"/>
          <w:divBdr>
            <w:top w:val="none" w:sz="0" w:space="0" w:color="auto"/>
            <w:left w:val="none" w:sz="0" w:space="0" w:color="auto"/>
            <w:bottom w:val="none" w:sz="0" w:space="0" w:color="auto"/>
            <w:right w:val="none" w:sz="0" w:space="0" w:color="auto"/>
          </w:divBdr>
          <w:divsChild>
            <w:div w:id="1582105590">
              <w:marLeft w:val="0"/>
              <w:marRight w:val="0"/>
              <w:marTop w:val="0"/>
              <w:marBottom w:val="0"/>
              <w:divBdr>
                <w:top w:val="none" w:sz="0" w:space="0" w:color="auto"/>
                <w:left w:val="none" w:sz="0" w:space="0" w:color="auto"/>
                <w:bottom w:val="none" w:sz="0" w:space="0" w:color="auto"/>
                <w:right w:val="none" w:sz="0" w:space="0" w:color="auto"/>
              </w:divBdr>
              <w:divsChild>
                <w:div w:id="1997878395">
                  <w:marLeft w:val="0"/>
                  <w:marRight w:val="0"/>
                  <w:marTop w:val="0"/>
                  <w:marBottom w:val="0"/>
                  <w:divBdr>
                    <w:top w:val="none" w:sz="0" w:space="0" w:color="auto"/>
                    <w:left w:val="none" w:sz="0" w:space="0" w:color="auto"/>
                    <w:bottom w:val="none" w:sz="0" w:space="0" w:color="auto"/>
                    <w:right w:val="none" w:sz="0" w:space="0" w:color="auto"/>
                  </w:divBdr>
                  <w:divsChild>
                    <w:div w:id="1879004272">
                      <w:marLeft w:val="0"/>
                      <w:marRight w:val="0"/>
                      <w:marTop w:val="0"/>
                      <w:marBottom w:val="0"/>
                      <w:divBdr>
                        <w:top w:val="none" w:sz="0" w:space="0" w:color="auto"/>
                        <w:left w:val="none" w:sz="0" w:space="0" w:color="auto"/>
                        <w:bottom w:val="none" w:sz="0" w:space="0" w:color="auto"/>
                        <w:right w:val="none" w:sz="0" w:space="0" w:color="auto"/>
                      </w:divBdr>
                      <w:divsChild>
                        <w:div w:id="1853377401">
                          <w:marLeft w:val="0"/>
                          <w:marRight w:val="0"/>
                          <w:marTop w:val="0"/>
                          <w:marBottom w:val="0"/>
                          <w:divBdr>
                            <w:top w:val="none" w:sz="0" w:space="0" w:color="auto"/>
                            <w:left w:val="none" w:sz="0" w:space="0" w:color="auto"/>
                            <w:bottom w:val="none" w:sz="0" w:space="0" w:color="auto"/>
                            <w:right w:val="none" w:sz="0" w:space="0" w:color="auto"/>
                          </w:divBdr>
                          <w:divsChild>
                            <w:div w:id="1059549185">
                              <w:marLeft w:val="0"/>
                              <w:marRight w:val="0"/>
                              <w:marTop w:val="0"/>
                              <w:marBottom w:val="0"/>
                              <w:divBdr>
                                <w:top w:val="none" w:sz="0" w:space="0" w:color="auto"/>
                                <w:left w:val="none" w:sz="0" w:space="0" w:color="auto"/>
                                <w:bottom w:val="none" w:sz="0" w:space="0" w:color="auto"/>
                                <w:right w:val="none" w:sz="0" w:space="0" w:color="auto"/>
                              </w:divBdr>
                              <w:divsChild>
                                <w:div w:id="24523144">
                                  <w:marLeft w:val="0"/>
                                  <w:marRight w:val="0"/>
                                  <w:marTop w:val="0"/>
                                  <w:marBottom w:val="0"/>
                                  <w:divBdr>
                                    <w:top w:val="none" w:sz="0" w:space="0" w:color="auto"/>
                                    <w:left w:val="none" w:sz="0" w:space="0" w:color="auto"/>
                                    <w:bottom w:val="none" w:sz="0" w:space="0" w:color="auto"/>
                                    <w:right w:val="none" w:sz="0" w:space="0" w:color="auto"/>
                                  </w:divBdr>
                                  <w:divsChild>
                                    <w:div w:id="1248803530">
                                      <w:marLeft w:val="0"/>
                                      <w:marRight w:val="0"/>
                                      <w:marTop w:val="0"/>
                                      <w:marBottom w:val="0"/>
                                      <w:divBdr>
                                        <w:top w:val="none" w:sz="0" w:space="0" w:color="auto"/>
                                        <w:left w:val="none" w:sz="0" w:space="0" w:color="auto"/>
                                        <w:bottom w:val="none" w:sz="0" w:space="0" w:color="auto"/>
                                        <w:right w:val="none" w:sz="0" w:space="0" w:color="auto"/>
                                      </w:divBdr>
                                      <w:divsChild>
                                        <w:div w:id="983240887">
                                          <w:marLeft w:val="0"/>
                                          <w:marRight w:val="0"/>
                                          <w:marTop w:val="0"/>
                                          <w:marBottom w:val="0"/>
                                          <w:divBdr>
                                            <w:top w:val="none" w:sz="0" w:space="0" w:color="auto"/>
                                            <w:left w:val="none" w:sz="0" w:space="0" w:color="auto"/>
                                            <w:bottom w:val="none" w:sz="0" w:space="0" w:color="auto"/>
                                            <w:right w:val="none" w:sz="0" w:space="0" w:color="auto"/>
                                          </w:divBdr>
                                          <w:divsChild>
                                            <w:div w:id="1734741024">
                                              <w:marLeft w:val="0"/>
                                              <w:marRight w:val="0"/>
                                              <w:marTop w:val="0"/>
                                              <w:marBottom w:val="0"/>
                                              <w:divBdr>
                                                <w:top w:val="none" w:sz="0" w:space="0" w:color="auto"/>
                                                <w:left w:val="none" w:sz="0" w:space="0" w:color="auto"/>
                                                <w:bottom w:val="none" w:sz="0" w:space="0" w:color="auto"/>
                                                <w:right w:val="none" w:sz="0" w:space="0" w:color="auto"/>
                                              </w:divBdr>
                                              <w:divsChild>
                                                <w:div w:id="580068594">
                                                  <w:marLeft w:val="0"/>
                                                  <w:marRight w:val="0"/>
                                                  <w:marTop w:val="0"/>
                                                  <w:marBottom w:val="0"/>
                                                  <w:divBdr>
                                                    <w:top w:val="none" w:sz="0" w:space="0" w:color="auto"/>
                                                    <w:left w:val="none" w:sz="0" w:space="0" w:color="auto"/>
                                                    <w:bottom w:val="none" w:sz="0" w:space="0" w:color="auto"/>
                                                    <w:right w:val="none" w:sz="0" w:space="0" w:color="auto"/>
                                                  </w:divBdr>
                                                  <w:divsChild>
                                                    <w:div w:id="62334462">
                                                      <w:marLeft w:val="0"/>
                                                      <w:marRight w:val="0"/>
                                                      <w:marTop w:val="0"/>
                                                      <w:marBottom w:val="0"/>
                                                      <w:divBdr>
                                                        <w:top w:val="none" w:sz="0" w:space="0" w:color="auto"/>
                                                        <w:left w:val="none" w:sz="0" w:space="0" w:color="auto"/>
                                                        <w:bottom w:val="none" w:sz="0" w:space="0" w:color="auto"/>
                                                        <w:right w:val="none" w:sz="0" w:space="0" w:color="auto"/>
                                                      </w:divBdr>
                                                      <w:divsChild>
                                                        <w:div w:id="348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0647866">
          <w:marLeft w:val="0"/>
          <w:marRight w:val="0"/>
          <w:marTop w:val="0"/>
          <w:marBottom w:val="0"/>
          <w:divBdr>
            <w:top w:val="none" w:sz="0" w:space="0" w:color="auto"/>
            <w:left w:val="none" w:sz="0" w:space="0" w:color="auto"/>
            <w:bottom w:val="none" w:sz="0" w:space="0" w:color="auto"/>
            <w:right w:val="none" w:sz="0" w:space="0" w:color="auto"/>
          </w:divBdr>
          <w:divsChild>
            <w:div w:id="1024939015">
              <w:marLeft w:val="0"/>
              <w:marRight w:val="0"/>
              <w:marTop w:val="0"/>
              <w:marBottom w:val="0"/>
              <w:divBdr>
                <w:top w:val="none" w:sz="0" w:space="0" w:color="auto"/>
                <w:left w:val="none" w:sz="0" w:space="0" w:color="auto"/>
                <w:bottom w:val="none" w:sz="0" w:space="0" w:color="auto"/>
                <w:right w:val="none" w:sz="0" w:space="0" w:color="auto"/>
              </w:divBdr>
              <w:divsChild>
                <w:div w:id="10523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39097">
      <w:bodyDiv w:val="1"/>
      <w:marLeft w:val="0"/>
      <w:marRight w:val="0"/>
      <w:marTop w:val="0"/>
      <w:marBottom w:val="0"/>
      <w:divBdr>
        <w:top w:val="none" w:sz="0" w:space="0" w:color="auto"/>
        <w:left w:val="none" w:sz="0" w:space="0" w:color="auto"/>
        <w:bottom w:val="none" w:sz="0" w:space="0" w:color="auto"/>
        <w:right w:val="none" w:sz="0" w:space="0" w:color="auto"/>
      </w:divBdr>
      <w:divsChild>
        <w:div w:id="1899514289">
          <w:marLeft w:val="0"/>
          <w:marRight w:val="0"/>
          <w:marTop w:val="0"/>
          <w:marBottom w:val="0"/>
          <w:divBdr>
            <w:top w:val="none" w:sz="0" w:space="0" w:color="auto"/>
            <w:left w:val="none" w:sz="0" w:space="0" w:color="auto"/>
            <w:bottom w:val="none" w:sz="0" w:space="0" w:color="auto"/>
            <w:right w:val="none" w:sz="0" w:space="0" w:color="auto"/>
          </w:divBdr>
          <w:divsChild>
            <w:div w:id="1703674933">
              <w:marLeft w:val="0"/>
              <w:marRight w:val="0"/>
              <w:marTop w:val="0"/>
              <w:marBottom w:val="0"/>
              <w:divBdr>
                <w:top w:val="none" w:sz="0" w:space="0" w:color="auto"/>
                <w:left w:val="none" w:sz="0" w:space="0" w:color="auto"/>
                <w:bottom w:val="none" w:sz="0" w:space="0" w:color="auto"/>
                <w:right w:val="none" w:sz="0" w:space="0" w:color="auto"/>
              </w:divBdr>
              <w:divsChild>
                <w:div w:id="83110724">
                  <w:marLeft w:val="0"/>
                  <w:marRight w:val="0"/>
                  <w:marTop w:val="0"/>
                  <w:marBottom w:val="0"/>
                  <w:divBdr>
                    <w:top w:val="none" w:sz="0" w:space="0" w:color="auto"/>
                    <w:left w:val="none" w:sz="0" w:space="0" w:color="auto"/>
                    <w:bottom w:val="none" w:sz="0" w:space="0" w:color="auto"/>
                    <w:right w:val="none" w:sz="0" w:space="0" w:color="auto"/>
                  </w:divBdr>
                  <w:divsChild>
                    <w:div w:id="19909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6951">
      <w:bodyDiv w:val="1"/>
      <w:marLeft w:val="0"/>
      <w:marRight w:val="0"/>
      <w:marTop w:val="0"/>
      <w:marBottom w:val="0"/>
      <w:divBdr>
        <w:top w:val="none" w:sz="0" w:space="0" w:color="auto"/>
        <w:left w:val="none" w:sz="0" w:space="0" w:color="auto"/>
        <w:bottom w:val="none" w:sz="0" w:space="0" w:color="auto"/>
        <w:right w:val="none" w:sz="0" w:space="0" w:color="auto"/>
      </w:divBdr>
    </w:div>
    <w:div w:id="1363629640">
      <w:bodyDiv w:val="1"/>
      <w:marLeft w:val="0"/>
      <w:marRight w:val="0"/>
      <w:marTop w:val="0"/>
      <w:marBottom w:val="0"/>
      <w:divBdr>
        <w:top w:val="none" w:sz="0" w:space="0" w:color="auto"/>
        <w:left w:val="none" w:sz="0" w:space="0" w:color="auto"/>
        <w:bottom w:val="none" w:sz="0" w:space="0" w:color="auto"/>
        <w:right w:val="none" w:sz="0" w:space="0" w:color="auto"/>
      </w:divBdr>
    </w:div>
    <w:div w:id="1385106101">
      <w:bodyDiv w:val="1"/>
      <w:marLeft w:val="0"/>
      <w:marRight w:val="0"/>
      <w:marTop w:val="0"/>
      <w:marBottom w:val="0"/>
      <w:divBdr>
        <w:top w:val="none" w:sz="0" w:space="0" w:color="auto"/>
        <w:left w:val="none" w:sz="0" w:space="0" w:color="auto"/>
        <w:bottom w:val="none" w:sz="0" w:space="0" w:color="auto"/>
        <w:right w:val="none" w:sz="0" w:space="0" w:color="auto"/>
      </w:divBdr>
    </w:div>
    <w:div w:id="1389232233">
      <w:bodyDiv w:val="1"/>
      <w:marLeft w:val="0"/>
      <w:marRight w:val="0"/>
      <w:marTop w:val="0"/>
      <w:marBottom w:val="0"/>
      <w:divBdr>
        <w:top w:val="none" w:sz="0" w:space="0" w:color="auto"/>
        <w:left w:val="none" w:sz="0" w:space="0" w:color="auto"/>
        <w:bottom w:val="none" w:sz="0" w:space="0" w:color="auto"/>
        <w:right w:val="none" w:sz="0" w:space="0" w:color="auto"/>
      </w:divBdr>
      <w:divsChild>
        <w:div w:id="1995529915">
          <w:marLeft w:val="0"/>
          <w:marRight w:val="0"/>
          <w:marTop w:val="0"/>
          <w:marBottom w:val="0"/>
          <w:divBdr>
            <w:top w:val="none" w:sz="0" w:space="0" w:color="auto"/>
            <w:left w:val="none" w:sz="0" w:space="0" w:color="auto"/>
            <w:bottom w:val="none" w:sz="0" w:space="0" w:color="auto"/>
            <w:right w:val="none" w:sz="0" w:space="0" w:color="auto"/>
          </w:divBdr>
          <w:divsChild>
            <w:div w:id="1333142971">
              <w:marLeft w:val="0"/>
              <w:marRight w:val="0"/>
              <w:marTop w:val="0"/>
              <w:marBottom w:val="0"/>
              <w:divBdr>
                <w:top w:val="none" w:sz="0" w:space="0" w:color="auto"/>
                <w:left w:val="none" w:sz="0" w:space="0" w:color="auto"/>
                <w:bottom w:val="none" w:sz="0" w:space="0" w:color="auto"/>
                <w:right w:val="none" w:sz="0" w:space="0" w:color="auto"/>
              </w:divBdr>
              <w:divsChild>
                <w:div w:id="1667324156">
                  <w:marLeft w:val="0"/>
                  <w:marRight w:val="0"/>
                  <w:marTop w:val="0"/>
                  <w:marBottom w:val="0"/>
                  <w:divBdr>
                    <w:top w:val="none" w:sz="0" w:space="0" w:color="auto"/>
                    <w:left w:val="none" w:sz="0" w:space="0" w:color="auto"/>
                    <w:bottom w:val="none" w:sz="0" w:space="0" w:color="auto"/>
                    <w:right w:val="none" w:sz="0" w:space="0" w:color="auto"/>
                  </w:divBdr>
                  <w:divsChild>
                    <w:div w:id="17274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10659">
      <w:bodyDiv w:val="1"/>
      <w:marLeft w:val="0"/>
      <w:marRight w:val="0"/>
      <w:marTop w:val="0"/>
      <w:marBottom w:val="0"/>
      <w:divBdr>
        <w:top w:val="none" w:sz="0" w:space="0" w:color="auto"/>
        <w:left w:val="none" w:sz="0" w:space="0" w:color="auto"/>
        <w:bottom w:val="none" w:sz="0" w:space="0" w:color="auto"/>
        <w:right w:val="none" w:sz="0" w:space="0" w:color="auto"/>
      </w:divBdr>
    </w:div>
    <w:div w:id="1651708323">
      <w:bodyDiv w:val="1"/>
      <w:marLeft w:val="0"/>
      <w:marRight w:val="0"/>
      <w:marTop w:val="0"/>
      <w:marBottom w:val="0"/>
      <w:divBdr>
        <w:top w:val="none" w:sz="0" w:space="0" w:color="auto"/>
        <w:left w:val="none" w:sz="0" w:space="0" w:color="auto"/>
        <w:bottom w:val="none" w:sz="0" w:space="0" w:color="auto"/>
        <w:right w:val="none" w:sz="0" w:space="0" w:color="auto"/>
      </w:divBdr>
      <w:divsChild>
        <w:div w:id="523448584">
          <w:marLeft w:val="0"/>
          <w:marRight w:val="0"/>
          <w:marTop w:val="0"/>
          <w:marBottom w:val="0"/>
          <w:divBdr>
            <w:top w:val="none" w:sz="0" w:space="0" w:color="auto"/>
            <w:left w:val="none" w:sz="0" w:space="0" w:color="auto"/>
            <w:bottom w:val="none" w:sz="0" w:space="0" w:color="auto"/>
            <w:right w:val="none" w:sz="0" w:space="0" w:color="auto"/>
          </w:divBdr>
          <w:divsChild>
            <w:div w:id="329914264">
              <w:marLeft w:val="0"/>
              <w:marRight w:val="0"/>
              <w:marTop w:val="0"/>
              <w:marBottom w:val="0"/>
              <w:divBdr>
                <w:top w:val="none" w:sz="0" w:space="0" w:color="auto"/>
                <w:left w:val="none" w:sz="0" w:space="0" w:color="auto"/>
                <w:bottom w:val="none" w:sz="0" w:space="0" w:color="auto"/>
                <w:right w:val="none" w:sz="0" w:space="0" w:color="auto"/>
              </w:divBdr>
              <w:divsChild>
                <w:div w:id="1180855941">
                  <w:marLeft w:val="0"/>
                  <w:marRight w:val="0"/>
                  <w:marTop w:val="0"/>
                  <w:marBottom w:val="0"/>
                  <w:divBdr>
                    <w:top w:val="none" w:sz="0" w:space="0" w:color="auto"/>
                    <w:left w:val="none" w:sz="0" w:space="0" w:color="auto"/>
                    <w:bottom w:val="none" w:sz="0" w:space="0" w:color="auto"/>
                    <w:right w:val="none" w:sz="0" w:space="0" w:color="auto"/>
                  </w:divBdr>
                  <w:divsChild>
                    <w:div w:id="1432817607">
                      <w:marLeft w:val="0"/>
                      <w:marRight w:val="0"/>
                      <w:marTop w:val="0"/>
                      <w:marBottom w:val="0"/>
                      <w:divBdr>
                        <w:top w:val="none" w:sz="0" w:space="0" w:color="auto"/>
                        <w:left w:val="none" w:sz="0" w:space="0" w:color="auto"/>
                        <w:bottom w:val="none" w:sz="0" w:space="0" w:color="auto"/>
                        <w:right w:val="none" w:sz="0" w:space="0" w:color="auto"/>
                      </w:divBdr>
                      <w:divsChild>
                        <w:div w:id="996306397">
                          <w:marLeft w:val="0"/>
                          <w:marRight w:val="0"/>
                          <w:marTop w:val="0"/>
                          <w:marBottom w:val="0"/>
                          <w:divBdr>
                            <w:top w:val="none" w:sz="0" w:space="0" w:color="auto"/>
                            <w:left w:val="none" w:sz="0" w:space="0" w:color="auto"/>
                            <w:bottom w:val="none" w:sz="0" w:space="0" w:color="auto"/>
                            <w:right w:val="none" w:sz="0" w:space="0" w:color="auto"/>
                          </w:divBdr>
                          <w:divsChild>
                            <w:div w:id="118497320">
                              <w:marLeft w:val="0"/>
                              <w:marRight w:val="0"/>
                              <w:marTop w:val="0"/>
                              <w:marBottom w:val="0"/>
                              <w:divBdr>
                                <w:top w:val="none" w:sz="0" w:space="0" w:color="auto"/>
                                <w:left w:val="none" w:sz="0" w:space="0" w:color="auto"/>
                                <w:bottom w:val="none" w:sz="0" w:space="0" w:color="auto"/>
                                <w:right w:val="none" w:sz="0" w:space="0" w:color="auto"/>
                              </w:divBdr>
                              <w:divsChild>
                                <w:div w:id="1765028264">
                                  <w:marLeft w:val="0"/>
                                  <w:marRight w:val="0"/>
                                  <w:marTop w:val="0"/>
                                  <w:marBottom w:val="0"/>
                                  <w:divBdr>
                                    <w:top w:val="none" w:sz="0" w:space="0" w:color="auto"/>
                                    <w:left w:val="none" w:sz="0" w:space="0" w:color="auto"/>
                                    <w:bottom w:val="none" w:sz="0" w:space="0" w:color="auto"/>
                                    <w:right w:val="none" w:sz="0" w:space="0" w:color="auto"/>
                                  </w:divBdr>
                                  <w:divsChild>
                                    <w:div w:id="709573819">
                                      <w:marLeft w:val="0"/>
                                      <w:marRight w:val="0"/>
                                      <w:marTop w:val="0"/>
                                      <w:marBottom w:val="0"/>
                                      <w:divBdr>
                                        <w:top w:val="none" w:sz="0" w:space="0" w:color="auto"/>
                                        <w:left w:val="none" w:sz="0" w:space="0" w:color="auto"/>
                                        <w:bottom w:val="none" w:sz="0" w:space="0" w:color="auto"/>
                                        <w:right w:val="none" w:sz="0" w:space="0" w:color="auto"/>
                                      </w:divBdr>
                                      <w:divsChild>
                                        <w:div w:id="1981416339">
                                          <w:marLeft w:val="0"/>
                                          <w:marRight w:val="0"/>
                                          <w:marTop w:val="0"/>
                                          <w:marBottom w:val="0"/>
                                          <w:divBdr>
                                            <w:top w:val="none" w:sz="0" w:space="0" w:color="auto"/>
                                            <w:left w:val="none" w:sz="0" w:space="0" w:color="auto"/>
                                            <w:bottom w:val="none" w:sz="0" w:space="0" w:color="auto"/>
                                            <w:right w:val="none" w:sz="0" w:space="0" w:color="auto"/>
                                          </w:divBdr>
                                          <w:divsChild>
                                            <w:div w:id="1887333527">
                                              <w:marLeft w:val="0"/>
                                              <w:marRight w:val="0"/>
                                              <w:marTop w:val="0"/>
                                              <w:marBottom w:val="0"/>
                                              <w:divBdr>
                                                <w:top w:val="none" w:sz="0" w:space="0" w:color="auto"/>
                                                <w:left w:val="none" w:sz="0" w:space="0" w:color="auto"/>
                                                <w:bottom w:val="none" w:sz="0" w:space="0" w:color="auto"/>
                                                <w:right w:val="none" w:sz="0" w:space="0" w:color="auto"/>
                                              </w:divBdr>
                                              <w:divsChild>
                                                <w:div w:id="1970209011">
                                                  <w:marLeft w:val="0"/>
                                                  <w:marRight w:val="0"/>
                                                  <w:marTop w:val="0"/>
                                                  <w:marBottom w:val="0"/>
                                                  <w:divBdr>
                                                    <w:top w:val="none" w:sz="0" w:space="0" w:color="auto"/>
                                                    <w:left w:val="none" w:sz="0" w:space="0" w:color="auto"/>
                                                    <w:bottom w:val="none" w:sz="0" w:space="0" w:color="auto"/>
                                                    <w:right w:val="none" w:sz="0" w:space="0" w:color="auto"/>
                                                  </w:divBdr>
                                                  <w:divsChild>
                                                    <w:div w:id="1644656491">
                                                      <w:marLeft w:val="0"/>
                                                      <w:marRight w:val="0"/>
                                                      <w:marTop w:val="0"/>
                                                      <w:marBottom w:val="0"/>
                                                      <w:divBdr>
                                                        <w:top w:val="none" w:sz="0" w:space="0" w:color="auto"/>
                                                        <w:left w:val="none" w:sz="0" w:space="0" w:color="auto"/>
                                                        <w:bottom w:val="none" w:sz="0" w:space="0" w:color="auto"/>
                                                        <w:right w:val="none" w:sz="0" w:space="0" w:color="auto"/>
                                                      </w:divBdr>
                                                      <w:divsChild>
                                                        <w:div w:id="16141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217860">
          <w:marLeft w:val="0"/>
          <w:marRight w:val="0"/>
          <w:marTop w:val="0"/>
          <w:marBottom w:val="0"/>
          <w:divBdr>
            <w:top w:val="none" w:sz="0" w:space="0" w:color="auto"/>
            <w:left w:val="none" w:sz="0" w:space="0" w:color="auto"/>
            <w:bottom w:val="none" w:sz="0" w:space="0" w:color="auto"/>
            <w:right w:val="none" w:sz="0" w:space="0" w:color="auto"/>
          </w:divBdr>
          <w:divsChild>
            <w:div w:id="2118938064">
              <w:marLeft w:val="0"/>
              <w:marRight w:val="0"/>
              <w:marTop w:val="0"/>
              <w:marBottom w:val="0"/>
              <w:divBdr>
                <w:top w:val="none" w:sz="0" w:space="0" w:color="auto"/>
                <w:left w:val="none" w:sz="0" w:space="0" w:color="auto"/>
                <w:bottom w:val="none" w:sz="0" w:space="0" w:color="auto"/>
                <w:right w:val="none" w:sz="0" w:space="0" w:color="auto"/>
              </w:divBdr>
              <w:divsChild>
                <w:div w:id="5229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3</cp:revision>
  <dcterms:created xsi:type="dcterms:W3CDTF">2024-08-13T22:21:00Z</dcterms:created>
  <dcterms:modified xsi:type="dcterms:W3CDTF">2024-08-14T00:24:00Z</dcterms:modified>
</cp:coreProperties>
</file>