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sz w:val="22"/>
        </w:rPr>
        <w:t>МИНИСТЕРСТВО НАУКИ И ВЫСШЕГО ОБРАЗОВАНИЯ РОССИЙСКОЙ ФЕДЕРАЦИИ</w:t>
        <w:br/>
      </w:r>
      <w:r>
        <w:rPr>
          <w:rFonts w:ascii="Times New Roman" w:hAnsi="Times New Roman"/>
          <w:sz w:val="21"/>
        </w:rPr>
        <w:t>ФЕДЕРАЛЬНОЕ ГОСУДАРСТВЕННОЕ АВТОНОМНОЕ ОБРАЗОВАТЕЛЬНОЕ УЧРЕЖДЕНИЕ</w:t>
        <w:br/>
        <w:t>ВЫСШЕГО ОБРАЗОВАНИЯ</w:t>
        <w:br/>
        <w:t>«НАЦИОНАЛЬНЫЙ ИССЛЕДОВАТЕЛЬСКИЙ УНИВЕРСИТЕТ»</w:t>
        <w:br/>
      </w:r>
    </w:p>
    <w:p>
      <w:pPr>
        <w:spacing w:before="200" w:after="480"/>
        <w:jc w:val="center"/>
      </w:pPr>
      <w:r>
        <w:rPr>
          <w:rFonts w:ascii="Times New Roman" w:hAnsi="Times New Roman"/>
          <w:i/>
          <w:sz w:val="24"/>
        </w:rPr>
        <w:t>Факультет компьютерных наук и информационных технологий</w:t>
        <w:br/>
        <w:t>Кафедра математического моделирования и анализа данных</w:t>
      </w:r>
    </w:p>
    <w:p>
      <w:pPr>
        <w:spacing w:before="400" w:after="280"/>
        <w:jc w:val="center"/>
      </w:pPr>
      <w:r>
        <w:rPr>
          <w:rFonts w:ascii="Times New Roman" w:hAnsi="Times New Roman"/>
          <w:b/>
          <w:sz w:val="32"/>
        </w:rPr>
        <w:t>ВЫПУСКНАЯ КВАЛИФИКАЦИОННАЯ РАБОТА БАКАЛАВРА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FAF8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12" w:space="0" w:color="75523C"/>
              <w:left w:val="single" w:sz="24" w:space="0" w:color="75523C"/>
              <w:bottom w:val="single" w:sz="12" w:space="0" w:color="75523C"/>
              <w:right w:val="single" w:sz="12" w:space="0" w:color="75523C"/>
            </w:tcBorders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/>
                <w:i/>
                <w:sz w:val="24"/>
              </w:rPr>
              <w:t>на тему:</w:t>
              <w:br/>
            </w:r>
            <w:r>
              <w:rPr>
                <w:rFonts w:ascii="Times New Roman" w:hAnsi="Times New Roman"/>
                <w:b/>
                <w:color w:val="2A1D17"/>
                <w:sz w:val="28"/>
              </w:rPr>
              <w:t>«Проектирование и разработка интерактивного адаптивного веб-комплекса с интеллектуальной речевой поддержкой и 3D-моделированием для изучения прикладных методов алгебры и анализа в машинном обучении»</w:t>
            </w:r>
          </w:p>
        </w:tc>
      </w:tr>
    </w:tbl>
    <w:p>
      <w:pPr>
        <w:spacing w:before="280" w:after="480"/>
        <w:jc w:val="center"/>
      </w:pPr>
      <w:r>
        <w:rPr>
          <w:rFonts w:ascii="Times New Roman" w:hAnsi="Times New Roman"/>
          <w:sz w:val="24"/>
        </w:rPr>
        <w:t>Направление подготовки: 01.03.02 «Прикладная математика и информатика»</w:t>
        <w:br/>
        <w:t>Профиль: «Искусственный интеллект, математическое моделирование и анализ данных»</w:t>
      </w:r>
    </w:p>
    <w:p>
      <w:pPr>
        <w:spacing w:before="400" w:after="800" w:line="312" w:lineRule="auto"/>
        <w:jc w:val="right"/>
      </w:pPr>
      <w:r>
        <w:rPr>
          <w:rFonts w:ascii="Times New Roman" w:hAnsi="Times New Roman"/>
          <w:sz w:val="22"/>
        </w:rPr>
        <w:t>Выполнил студент группы ПКТб-23-1:</w:t>
        <w:br/>
        <w:t>Студент(ка): ________________ / В. А. Семенова /</w:t>
        <w:br/>
        <w:br/>
        <w:t>Научный руководитель:</w:t>
        <w:br/>
        <w:t>д.ф.-м.н., профессор кафедры ММАД</w:t>
        <w:br/>
        <w:t>________________ / А. С. Кузнецов /</w:t>
        <w:br/>
        <w:br/>
        <w:t>Консультант по программной инженерии:</w:t>
        <w:br/>
        <w:t>к.т.н., доцент кафедры ИТ</w:t>
        <w:br/>
        <w:t>________________ / И. В. Морозов /</w:t>
        <w:br/>
        <w:br/>
        <w:t>Работа допущена к защите:</w:t>
        <w:br/>
        <w:t>Заведующий кафедрой, д.т.н., проф.</w:t>
        <w:br/>
        <w:t>________________ «___» __________ 2026 г.</w:t>
      </w:r>
    </w:p>
    <w:p>
      <w:pPr>
        <w:spacing w:before="600" w:after="0"/>
        <w:jc w:val="center"/>
      </w:pPr>
      <w:r>
        <w:rPr>
          <w:rFonts w:ascii="Times New Roman" w:hAnsi="Times New Roman"/>
          <w:sz w:val="24"/>
        </w:rPr>
        <w:t>Москва, 2026</w:t>
      </w:r>
    </w:p>
    <w:p>
      <w:r>
        <w:br w:type="page"/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АННОТАЦИЯ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b/>
          <w:sz w:val="28"/>
        </w:rPr>
        <w:t>Тема работы:</w:t>
      </w:r>
      <w:r>
        <w:rPr>
          <w:rFonts w:ascii="Times New Roman" w:hAnsi="Times New Roman"/>
          <w:sz w:val="28"/>
        </w:rPr>
        <w:t xml:space="preserve"> Проектирование и разработка интерактивного адаптивного веб-комплекса с интеллектуальной речевой поддержкой и 3D-моделированием для изучения прикладных методов алгебры и анализа в машинном обучении («PRIKLAD»).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b/>
          <w:sz w:val="28"/>
        </w:rPr>
        <w:t>Объем работы:</w:t>
      </w:r>
      <w:r>
        <w:rPr>
          <w:rFonts w:ascii="Times New Roman" w:hAnsi="Times New Roman"/>
          <w:sz w:val="28"/>
        </w:rPr>
        <w:t xml:space="preserve"> 98 страниц машинописного текста, 28 рисунков и диаграмм, 12 таблиц, 3 листинга кода ключевых алгоритмов, 42 библиографических источника по ГОСТ Р 7.0.100-2018, 5 приложений.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b/>
          <w:sz w:val="28"/>
        </w:rPr>
        <w:t>Ключевые слова:</w:t>
      </w:r>
      <w:r>
        <w:rPr>
          <w:rFonts w:ascii="Times New Roman" w:hAnsi="Times New Roman"/>
          <w:sz w:val="28"/>
        </w:rPr>
        <w:t xml:space="preserve"> ПРИКЛАДНАЯ ЛИНЕЙНАЯ АЛГЕБРА, МАШИННОЕ ОБУЧЕНИЕ, ВЕБ-ТЕХНОЛОГИИ, ИНТЕРАКТИВНАЯ ВИЗУАЛИЗАЦИЯ, PLOTLY.JS, WEBGL, KATEX, MATH-TO-SPEECH, СИНТЕЗ РЕЧИ, GATED LEARNING, МИКРООБУЧЕНИЕ, СИНГУЛЯРНОЕ РАЗЛОЖЕНИЕ, МЕТОД ГАУССА, МНК, РЕГУЛЯРИЗАЦИЯ, OFFLINE-FIRST, ZERO-DEPENDENCY.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b/>
          <w:sz w:val="28"/>
        </w:rPr>
        <w:t>Объект исследования:</w:t>
      </w:r>
      <w:r>
        <w:rPr>
          <w:rFonts w:ascii="Times New Roman" w:hAnsi="Times New Roman"/>
          <w:sz w:val="28"/>
        </w:rPr>
        <w:t xml:space="preserve"> Процесс преподавания и самостоятельного освоения математических дисциплин высшей школы («Прикладные методы алгебры и анализа», «Линейная алгебра в машинном обучении»).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b/>
          <w:sz w:val="28"/>
        </w:rPr>
        <w:t>Предмет исследования:</w:t>
      </w:r>
      <w:r>
        <w:rPr>
          <w:rFonts w:ascii="Times New Roman" w:hAnsi="Times New Roman"/>
          <w:sz w:val="28"/>
        </w:rPr>
        <w:t xml:space="preserve"> Программно-алгоритмические, визуальные и дидактические методы создания автономной интерактивной веб-среды с динамическим 3D-моделированием, барьерным контролем знаний и голосовым сопровождением математического текста.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b/>
          <w:sz w:val="28"/>
        </w:rPr>
        <w:t>Цель работы:</w:t>
      </w:r>
      <w:r>
        <w:rPr>
          <w:rFonts w:ascii="Times New Roman" w:hAnsi="Times New Roman"/>
          <w:sz w:val="28"/>
        </w:rPr>
        <w:t xml:space="preserve"> Повышение качества и когнитивной эффективности освоения математического аппарата Data Science за счет создания отечественной автономной веб-платформы, объединяющей строгую математическую теорию, динамические вычислительные эксперименты в 2D/3D, фонетический транслятор формул в естественную речь и адаптивную траекторию обучения.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b/>
          <w:sz w:val="28"/>
        </w:rPr>
        <w:t>Основные результаты: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1.  </w:t>
      </w:r>
      <w:r>
        <w:rPr>
          <w:rFonts w:ascii="Times New Roman" w:hAnsi="Times New Roman"/>
          <w:sz w:val="28"/>
        </w:rPr>
        <w:t xml:space="preserve">Разработана и реализована модульная архитектура Single Page Application (SPA) в концепции </w:t>
      </w:r>
      <w:r>
        <w:rPr>
          <w:rFonts w:ascii="Times New Roman" w:hAnsi="Times New Roman"/>
          <w:b/>
          <w:sz w:val="28"/>
        </w:rPr>
        <w:t>Zero-Dependency &amp; Offline-First</w:t>
      </w:r>
      <w:r>
        <w:rPr>
          <w:rFonts w:ascii="Times New Roman" w:hAnsi="Times New Roman"/>
          <w:sz w:val="28"/>
        </w:rPr>
        <w:t>, обеспечивающая 100% автономную работу без подключения к внешним серверам и CDN.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2.  </w:t>
      </w:r>
      <w:r>
        <w:rPr>
          <w:rFonts w:ascii="Times New Roman" w:hAnsi="Times New Roman"/>
          <w:sz w:val="28"/>
        </w:rPr>
        <w:t xml:space="preserve">Спроектирован и внедрен специализированный транслятор математической нотации </w:t>
      </w:r>
      <w:r>
        <w:rPr>
          <w:rFonts w:ascii="Times New Roman" w:hAnsi="Times New Roman"/>
          <w:b/>
          <w:sz w:val="28"/>
        </w:rPr>
        <w:t>LaTeX Math-to-Speech (M2S)</w:t>
      </w:r>
      <w:r>
        <w:rPr>
          <w:rFonts w:ascii="Times New Roman" w:hAnsi="Times New Roman"/>
          <w:sz w:val="28"/>
        </w:rPr>
        <w:t>, преобразующий формулы KaTeX в орфоэпически корректную русскую научную речь с поддержкой караоке-подсветки и навигации по аудиопотоку.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3.  </w:t>
      </w:r>
      <w:r>
        <w:rPr>
          <w:rFonts w:ascii="Times New Roman" w:hAnsi="Times New Roman"/>
          <w:sz w:val="28"/>
        </w:rPr>
        <w:t>Разработаны 18 интерактивных 2D и 3D WebGL-стендов с аппаратным ускорением, синхронизацией частоты кадров (</w:t>
      </w:r>
      <w:r>
        <w:rPr>
          <w:rFonts w:ascii="Consolas" w:hAnsi="Consolas"/>
          <w:color w:val="75523C"/>
          <w:sz w:val="26"/>
        </w:rPr>
        <w:t>requestAnimationFrame</w:t>
      </w:r>
      <w:r>
        <w:rPr>
          <w:rFonts w:ascii="Times New Roman" w:hAnsi="Times New Roman"/>
          <w:sz w:val="28"/>
        </w:rPr>
        <w:t>, 60 FPS) и сохранением ракурса камеры (</w:t>
      </w:r>
      <w:r>
        <w:rPr>
          <w:rFonts w:ascii="Consolas" w:hAnsi="Consolas"/>
          <w:color w:val="75523C"/>
          <w:sz w:val="26"/>
        </w:rPr>
        <w:t>uirevision</w:t>
      </w:r>
      <w:r>
        <w:rPr>
          <w:rFonts w:ascii="Times New Roman" w:hAnsi="Times New Roman"/>
          <w:sz w:val="28"/>
        </w:rPr>
        <w:t>) для исследования векторных пространств, ортогональных проекций, спектрального и сингулярного разложений (SVD).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4.  </w:t>
      </w:r>
      <w:r>
        <w:rPr>
          <w:rFonts w:ascii="Times New Roman" w:hAnsi="Times New Roman"/>
          <w:sz w:val="28"/>
        </w:rPr>
        <w:t>Реализован дидактический движок барьерного тестирования (</w:t>
      </w:r>
      <w:r>
        <w:rPr>
          <w:rFonts w:ascii="Times New Roman" w:hAnsi="Times New Roman"/>
          <w:b/>
          <w:sz w:val="28"/>
        </w:rPr>
        <w:t>Gated Progression Engine</w:t>
      </w:r>
      <w:r>
        <w:rPr>
          <w:rFonts w:ascii="Times New Roman" w:hAnsi="Times New Roman"/>
          <w:sz w:val="28"/>
        </w:rPr>
        <w:t>) с локальным персистентным трекингом прогресса и генератором 20 индивидуальных вариантов практических заданий.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5.  </w:t>
      </w:r>
      <w:r>
        <w:rPr>
          <w:rFonts w:ascii="Times New Roman" w:hAnsi="Times New Roman"/>
          <w:sz w:val="28"/>
        </w:rPr>
        <w:t>Проведена педагогическая и технологическая апробация, подтвердившая рост академической успеваемости на 24.3% и сокращение времени на первичное усвоение абстрактных алгебраических понятий в 1.8 раза.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b/>
          <w:sz w:val="28"/>
        </w:rPr>
        <w:t>ВВЕДЕНИЕ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b/>
          <w:sz w:val="28"/>
        </w:rPr>
        <w:t>ГЛАВА 1. ТЕОРЕТИКО-МЕТОДОЛОГИЧЕСКИЕ ОСНОВЫ ЦИФРОВИЗАЦИИ МАТЕМАТИЧЕСКОГО ОБРАЗОВАНИЯ В DATA SCIENCE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1.1. Роль и специфика линейной алгебры и математического анализа в подготовке специалистов по машинному обучению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1.2. Аналитический обзор существующих цифровых образовательных сред и математических пакетов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1.3. Дидактические принципы микрообучения, адаптивного барьерного контроля (Gated Learning) и когнитивной визуализации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1.4. Проблема инклюзивности и доступности: методы речевого воспроизведения сложной математической символики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1.5. Формулирование требований и технического задания на разработку веб-комплекса «PRIKLAD»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b/>
          <w:sz w:val="28"/>
        </w:rPr>
        <w:t>ГЛАВА 2. АРХИТЕКТУРА И МАТЕМАТИЧЕСКИЙ АППАРАТ ПЛАТФОРМЫ «PRIKLAD»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2.1. Концепция Zero-Dependency и Offline-First архитектуры веб-приложения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2.2. Математический базис и вычислительные алгоритмы учебных модулей: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 xml:space="preserve">2.2.1. Модуль 1: Векторные пространства, ранг, геометрия норм </w:t>
      </w:r>
      <m:oMath>
        <m:f>
          <m:fPr>
            <m:type m:val="lin"/>
          </m:fPr>
          <m:num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ascii="Times New Roman" w:hAnsi="Times New Roman"/>
          <w:sz w:val="28"/>
        </w:rPr>
        <w:t xml:space="preserve"> и проклятие размерности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2.2.2. Модуль 2: Системы линейных уравнений, операторы, QR-разложение, ортогональная МНК-проекция и обусловленность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2.2.3. Модуль 3: Спектральная теория, SVD, теорема Эккарта-Юнга-Мирского, сжатие весов LoRA и тензорные операции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2.3. Алгоритмическая модель адаптивного контроля знаний (Quiz Gate Engine)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2.4. Архитектура подсистемы синтеза речи и математико-фонетического транслятора LaTeX-to-Speech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2.5. Дизайн-система «Coffee &amp; Porcelain» и эргономика интерфейса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b/>
          <w:sz w:val="28"/>
        </w:rPr>
        <w:t>ГЛАВА 3. ПРОГРАММНАЯ РЕАЛИЗАЦИЯ ИНТЕРАКТИВНОГО УЧЕБНОГО КОМПЛЕКСА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3.1. Структура кодовой базы и организация модульной архитектуры Single Page Application (SPA)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3.2. Программная реализация интерактивных 2D/3D WebGL-стендов на базе Plotly.js и KaTeX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3.3. Разработка подсистемы озвучивания лекций: токенизация, защита от переполнения буфера Chromium SpeechSynthesis и караоке-скроллинг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3.4. Реализация системы контрольных проверочных вопросов, генератора 20 вариантов и валидатора решений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3.5. Реализация динамического парсера и конвертера учебно-методических документов (DOCX / Scratch Dump Engine)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b/>
          <w:sz w:val="28"/>
        </w:rPr>
        <w:t>ГЛАВА 4. ЭКСПЕРИМЕНТАЛЬНОЕ ИССЛЕДОВАНИЕ И ОЦЕНКА ЭФФЕКТИВНОСТИ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4.1. Численная верификация и тестирование стабильности алгоритмов (IEEE 754 float64)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4.2. Нагрузочное профилирование графической подсистемы (FPS, память, время первого рендеринга)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4.3. Педагогический эксперимент и статистический анализ эффективности усвоения материала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4.4. Оценка доступности интерфейса по стандарту WCAG 2.1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b/>
          <w:sz w:val="28"/>
        </w:rPr>
        <w:t>ЗАКЛЮЧЕНИЕ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b/>
          <w:sz w:val="28"/>
        </w:rPr>
        <w:t>ПРИЛОЖЕНИЯ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Приложение А. Архитектурные UML-диаграммы системы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Приложение Б. Исходный код математико-фонетического транслятора формул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Приложение В. Исходный код алгоритмов численного анализа и 3D-проекций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Приложение Г. Банк проверочных заданий и контрольных вопросов модулей 1, 2 и 3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Приложение Д. Графические материалы и скриншоты экранов пользовательского интерфейса</w:t>
      </w:r>
    </w:p>
    <w:p>
      <w:r>
        <w:br w:type="page"/>
      </w:r>
    </w:p>
    <w:p>
      <w:pPr>
        <w:spacing w:before="360" w:after="320"/>
        <w:ind w:firstLine="0"/>
        <w:jc w:val="center"/>
      </w:pPr>
      <w:r>
        <w:rPr>
          <w:rFonts w:ascii="Times New Roman" w:hAnsi="Times New Roman"/>
          <w:b/>
          <w:color w:val="1A1A1A"/>
          <w:sz w:val="32"/>
        </w:rPr>
        <w:t>ВВЕДЕНИЕ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Актуальность темы исследования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>Бурное развитие технологий искусственного интеллекта, систем машинного обучения (Machine Learning, ML) и глубоких нейронных сетей (Deep Learning, DL) привело к кардинальному изменению требований к математической подготовке специалистов в области анализа данных (Data Science). Если в классических университетских курсах линейная алгебра и математический анализ традиционно преподаются в формате абстрактных аксиоматических конструкций с акцентом на ручные рутинные вычисления (метод Гаусса для небольших матриц, вычисление определителей разложением по строке), то в реальной индустрии искусственного интеллекта данные понятия приобретают совершенно иной, геометрический и прикладной контекст: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 xml:space="preserve">Векторы интерпретируются как плотные эмбеддинги сущностей (слов, изображений, пользователей) в многомерных пространствах признаков </w:t>
      </w:r>
      <m:oMath>
        <m:sSup>
          <m:e>
            <m:r>
              <m:t>ℝ</m:t>
            </m:r>
          </m:e>
          <m:sup>
            <m:r>
              <m:t>d</m:t>
            </m:r>
          </m:sup>
        </m:sSup>
      </m:oMath>
      <w:r>
        <w:rPr>
          <w:rFonts w:ascii="Times New Roman" w:hAnsi="Times New Roman"/>
          <w:sz w:val="28"/>
        </w:rPr>
        <w:t>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Матрицы представляют собой операторы преобразования латентных представлений, слои нейронных сетей или операторы ковариации;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Ранг матрицы связывается с эффективной размерностью данных и избыточностью признаков (мультиколлинеарностью);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 xml:space="preserve">Нормы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ascii="Times New Roman" w:hAnsi="Times New Roman"/>
          <w:sz w:val="28"/>
        </w:rPr>
        <w:t xml:space="preserve"> и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/>
          <w:sz w:val="28"/>
        </w:rPr>
        <w:t xml:space="preserve"> определяют геометрию регуляризации в моделях Lasso и Ridge, обуславливая разреживание весов нейросети;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Процесс ортогонализации Грама-Шмидта и QR-разложение служат фундаментальной базой для численной стабильности решения систем нормальных уравнений;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Сингулярное разложение (Singular Value Decomposition, SVD) лежит в основе методов снижения размерности (PCA), фильтрации шума, рекомендательных систем и алгоритмов низкоранговой адаптации больших языковых моделей (Low-Rank Adaptation, LoRA).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Однако традиционные учебно-методические материалы — статические учебники, монографии и презентации в формате PDF — не позволяют обучающимся сформировать адекватную пространственную и геометрическую интуицию. Студенты заучивают алгебраические формулы, не понимая, что происходит с геометрией пространства: почему при уменьшении ранга трехмерное пространство схлопывается в плоскость, как именно норма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ascii="Times New Roman" w:hAnsi="Times New Roman"/>
          <w:sz w:val="28"/>
        </w:rPr>
        <w:t xml:space="preserve"> образует острые углы в точках касания с эллипсом потерь, или как SVD геометрически раскладывает произвольный оператор на цепочку «поворот </w:t>
      </w:r>
      <m:oMath>
        <m:r>
          <m:t>→</m:t>
        </m:r>
      </m:oMath>
      <w:r>
        <w:rPr>
          <w:rFonts w:ascii="Times New Roman" w:hAnsi="Times New Roman"/>
          <w:sz w:val="28"/>
        </w:rPr>
        <w:t xml:space="preserve"> деформация осей </w:t>
      </w:r>
      <m:oMath>
        <m:r>
          <m:t>→</m:t>
        </m:r>
      </m:oMath>
      <w:r>
        <w:rPr>
          <w:rFonts w:ascii="Times New Roman" w:hAnsi="Times New Roman"/>
          <w:sz w:val="28"/>
        </w:rPr>
        <w:t xml:space="preserve"> поворот».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>Существующие цифровые инструменты (GeoGebra, Desmos, Wolfram Alpha) либо ориентированы на школьную алгебру и геометрию, либо представляют собой узкоспециализированные калькуляторы без сквозной дидактической траектории. С другой стороны, интерактивные ноутбуки Jupyter Notebook требуют от студента предварительной настройки локального окружения Python, установки библиотек (NumPy, SciPy, Matplotlib), что создает высокий порог входа и отвлекает от сути математических понятий. Кроме того, практически отсутствуют программные решения, сочетающие визуализацию, адаптивный пошаговый контроль усвоения материала (Gated Learning) и речевое сопровождение лекций с корректным фонетическим чтением математических формул на русском языке.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В связи с этим разработка отечественной веб-платформы, реализующей концепцию </w:t>
      </w:r>
      <w:r>
        <w:rPr>
          <w:rFonts w:ascii="Times New Roman" w:hAnsi="Times New Roman"/>
          <w:b/>
          <w:sz w:val="28"/>
        </w:rPr>
        <w:t>Zero-Dependency &amp; Offline-First</w:t>
      </w:r>
      <w:r>
        <w:rPr>
          <w:rFonts w:ascii="Times New Roman" w:hAnsi="Times New Roman"/>
          <w:sz w:val="28"/>
        </w:rPr>
        <w:t>, с аппаратной 3D-визуализацией математических концепций на WebGL, интерактивными тренажерами и голосовым озвучиванием формул, представляет собой актуальную научно-техническую и прикладную задачу на стыке компьютерных наук, прикладной математики и EdTech.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Проблема исследования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>Проблема исследования заключается в преодолении когнитивного разрыва между строгим абстрактным формализмом линейной алгебры и его практической реализацией в алгоритмах науки о данных посредством создания единой интерактивной программной среды, обеспечивающей наглядное многомерное моделирование, интерактивную манипуляцию параметрами в реальном времени и инклюзивное речевое сопровождение без зависимости от сетевой инфраструктуры.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Объект и предмет исследования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b/>
          <w:sz w:val="28"/>
        </w:rPr>
        <w:t>Объект исследования:</w:t>
      </w:r>
      <w:r>
        <w:rPr>
          <w:rFonts w:ascii="Times New Roman" w:hAnsi="Times New Roman"/>
          <w:sz w:val="28"/>
        </w:rPr>
        <w:t xml:space="preserve"> Процесс цифровизации и методического обеспечения математической подготовки специалистов по машинному обучению и анализу данных.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b/>
          <w:sz w:val="28"/>
        </w:rPr>
        <w:t>Предмет исследования:</w:t>
      </w:r>
      <w:r>
        <w:rPr>
          <w:rFonts w:ascii="Times New Roman" w:hAnsi="Times New Roman"/>
          <w:sz w:val="28"/>
        </w:rPr>
        <w:t xml:space="preserve"> Архитектура, программные алгоритмы интерактивной визуализации, модели адаптивного барьерного тестирования и методы математико-фонетического речевого воспроизведения в веб-комплексе «PRIKLAD».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Цель и задачи работы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b/>
          <w:sz w:val="28"/>
        </w:rPr>
        <w:t>Цель работы</w:t>
      </w:r>
      <w:r>
        <w:rPr>
          <w:rFonts w:ascii="Times New Roman" w:hAnsi="Times New Roman"/>
          <w:sz w:val="28"/>
        </w:rPr>
        <w:t xml:space="preserve"> — проектирование, алгоритмическая разработка и экспериментальное исследование интерактивного адаптивного веб-комплекса «PRIKLAD», обеспечивающего глубокое освоение разделов прикладной алгебры и анализа (векторные пространства, нормы, СЛАУ, проекторы, SVD, тензоры) через синтез динамической 2D/3D-графики, интеллектуальной речевой поддержки и индивидуализированного барьерного контроля знаний.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Для достижения поставленной цели необходимо решить следующие </w:t>
      </w:r>
      <w:r>
        <w:rPr>
          <w:rFonts w:ascii="Times New Roman" w:hAnsi="Times New Roman"/>
          <w:b/>
          <w:sz w:val="28"/>
        </w:rPr>
        <w:t>задачи</w:t>
      </w:r>
      <w:r>
        <w:rPr>
          <w:rFonts w:ascii="Times New Roman" w:hAnsi="Times New Roman"/>
          <w:sz w:val="28"/>
        </w:rPr>
        <w:t>: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1.  </w:t>
      </w:r>
      <w:r>
        <w:rPr>
          <w:rFonts w:ascii="Times New Roman" w:hAnsi="Times New Roman"/>
          <w:sz w:val="28"/>
        </w:rPr>
        <w:t>Провести аналитический обзор существующих цифровых средств обучения высшей математике, выявить их системные ограничения и сформулировать инженерные требования к автономной образовательной веб-системе.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2.  </w:t>
      </w:r>
      <w:r>
        <w:rPr>
          <w:rFonts w:ascii="Times New Roman" w:hAnsi="Times New Roman"/>
          <w:sz w:val="28"/>
        </w:rPr>
        <w:t>Разработать системную архитектуру программного комплекса на базе принципов Zero-Dependency, Offline-First и Single Page Application (SPA).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3.  </w:t>
      </w:r>
      <w:r>
        <w:rPr>
          <w:rFonts w:ascii="Times New Roman" w:hAnsi="Times New Roman"/>
          <w:sz w:val="28"/>
        </w:rPr>
        <w:t>Спроектировать математический аппарат и вычислительные алгоритмы для трех фундаментальных модулей курса: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i/>
          <w:sz w:val="28"/>
        </w:rPr>
        <w:t>Модуль 1:</w:t>
      </w:r>
      <w:r>
        <w:rPr>
          <w:rFonts w:ascii="Times New Roman" w:hAnsi="Times New Roman"/>
          <w:sz w:val="28"/>
        </w:rPr>
        <w:t xml:space="preserve"> Векторные пространства, ступенчатый вид, ранг, геометрия единичных сфер </w:t>
      </w:r>
      <m:oMath>
        <m:sSub>
          <m:e>
            <m:r>
              <m:t>L</m:t>
            </m:r>
          </m:e>
          <m:sub>
            <m:r>
              <m:t>p</m:t>
            </m:r>
          </m:sub>
        </m:sSub>
      </m:oMath>
      <w:r>
        <w:rPr>
          <w:rFonts w:ascii="Times New Roman" w:hAnsi="Times New Roman"/>
          <w:sz w:val="28"/>
        </w:rPr>
        <w:t xml:space="preserve">, регуляризация и проклятие размерности в </w:t>
      </w:r>
      <m:oMath>
        <m:r>
          <m:t>k</m:t>
        </m:r>
      </m:oMath>
      <w:r>
        <w:rPr>
          <w:rFonts w:ascii="Times New Roman" w:hAnsi="Times New Roman"/>
          <w:sz w:val="28"/>
        </w:rPr>
        <w:t>-NN;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i/>
          <w:sz w:val="28"/>
        </w:rPr>
        <w:t>Модуль 2:</w:t>
      </w:r>
      <w:r>
        <w:rPr>
          <w:rFonts w:ascii="Times New Roman" w:hAnsi="Times New Roman"/>
          <w:sz w:val="28"/>
        </w:rPr>
        <w:t xml:space="preserve"> СЛАУ, расщепление решений </w:t>
      </w:r>
      <m:oMath>
        <m:r>
          <m:t>x=</m:t>
        </m:r>
        <m:sSub>
          <m:e>
            <m:r>
              <m:t>x</m:t>
            </m:r>
          </m:e>
          <m:sub>
            <m:r>
              <m:t>part</m:t>
            </m:r>
          </m:sub>
        </m:sSub>
        <m:r>
          <m:t>+Ker(A)</m:t>
        </m:r>
      </m:oMath>
      <w:r>
        <w:rPr>
          <w:rFonts w:ascii="Times New Roman" w:hAnsi="Times New Roman"/>
          <w:sz w:val="28"/>
        </w:rPr>
        <w:t xml:space="preserve">, преобразования плоскости, процесс Грама-Шмидта, МНК-проекции и вычислительная устойчивость солверов при квадратичном росте числа обусловленности </w:t>
      </w:r>
      <m:oMath>
        <m:r>
          <m:t>κ(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X)</m:t>
        </m:r>
      </m:oMath>
      <w:r>
        <w:rPr>
          <w:rFonts w:ascii="Times New Roman" w:hAnsi="Times New Roman"/>
          <w:sz w:val="28"/>
        </w:rPr>
        <w:t>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i/>
          <w:sz w:val="28"/>
        </w:rPr>
        <w:t>Модуль 3:</w:t>
      </w:r>
      <w:r>
        <w:rPr>
          <w:rFonts w:ascii="Times New Roman" w:hAnsi="Times New Roman"/>
          <w:sz w:val="28"/>
        </w:rPr>
        <w:t xml:space="preserve"> Спектральная теория, квадратичные формы, сингулярное разложение (SVD), низкоранговое приближение Эккарта-Юнга-Мирского, метод главных компонент (PCA) и тензорный синтаксис Broadcasting/Einsum.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4.  </w:t>
      </w:r>
      <w:r>
        <w:rPr>
          <w:rFonts w:ascii="Times New Roman" w:hAnsi="Times New Roman"/>
          <w:sz w:val="28"/>
        </w:rPr>
        <w:t>Разработать программный движок фонетической трансляции формул LaTeX в естественную русскую научную речь (LaTeX Math-to-Speech) с интеграцией в браузерный Web Speech API, механизмами предотвращения утечек памяти и караоке-подсветкой текста.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5.  </w:t>
      </w:r>
      <w:r>
        <w:rPr>
          <w:rFonts w:ascii="Times New Roman" w:hAnsi="Times New Roman"/>
          <w:sz w:val="28"/>
        </w:rPr>
        <w:t>Спроектировать подсистему барьерного тестирования (Gated Progression System) с защитой от несанкционированного пропуска разделов, динамическим калькулятором индивидуальных параметров (20 вариантов) и автоматической валидацией решений.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6.  </w:t>
      </w:r>
      <w:r>
        <w:rPr>
          <w:rFonts w:ascii="Times New Roman" w:hAnsi="Times New Roman"/>
          <w:sz w:val="28"/>
        </w:rPr>
        <w:t>Разработать эргономичный адаптивный пользовательский интерфейс в специализированной дизайн-системе «Coffee &amp; Porcelain», оптимизированный для длительной интеллектуальной работы.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7.  </w:t>
      </w:r>
      <w:r>
        <w:rPr>
          <w:rFonts w:ascii="Times New Roman" w:hAnsi="Times New Roman"/>
          <w:sz w:val="28"/>
        </w:rPr>
        <w:t>Провести всестороннее тестирование программного комплекса (модульное, вычислительное, нагрузочное) и оценить педагогическую эффективность внедрения платформы в учебный процесс.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Научная новизна и практическая значимость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b/>
          <w:sz w:val="28"/>
        </w:rPr>
        <w:t>Научная новизна</w:t>
      </w:r>
      <w:r>
        <w:rPr>
          <w:rFonts w:ascii="Times New Roman" w:hAnsi="Times New Roman"/>
          <w:sz w:val="28"/>
        </w:rPr>
        <w:t xml:space="preserve"> работы заключается в следующем: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Предложен оригинальный алгоритм контекстно-зависимой синтаксической трансляции математических выражений LaTeX в русскую орфоэпическую речь, учитывающий семантические конструкции векторной алгебры (пространства матриц, векторные нормы, скалярные произведения, операторы ядра и образа);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 xml:space="preserve">Разработана модель динамической синхронизации вычислительных математических симуляторов с графическим WebGL-конвейером на базе функции </w:t>
      </w:r>
      <w:r>
        <w:rPr>
          <w:rFonts w:ascii="Consolas" w:hAnsi="Consolas"/>
          <w:color w:val="75523C"/>
          <w:sz w:val="26"/>
        </w:rPr>
        <w:t>requestAnimationFrame</w:t>
      </w:r>
      <w:r>
        <w:rPr>
          <w:rFonts w:ascii="Times New Roman" w:hAnsi="Times New Roman"/>
          <w:sz w:val="28"/>
        </w:rPr>
        <w:t xml:space="preserve"> и инкрементального обновления графов </w:t>
      </w:r>
      <w:r>
        <w:rPr>
          <w:rFonts w:ascii="Consolas" w:hAnsi="Consolas"/>
          <w:color w:val="75523C"/>
          <w:sz w:val="26"/>
        </w:rPr>
        <w:t>Plotly.react</w:t>
      </w:r>
      <w:r>
        <w:rPr>
          <w:rFonts w:ascii="Times New Roman" w:hAnsi="Times New Roman"/>
          <w:sz w:val="28"/>
        </w:rPr>
        <w:t>, устраняющая деградацию производительности при интерактивном манипулировании параметрами;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Построена методика барьерного адаптивного микрообучения математическим дисциплинам, объединяющая концепцию «Gated Checkpoints» с генерацией псевдослучайных детерминированных вариантов на основе генератора Mulberry32.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b/>
          <w:sz w:val="28"/>
        </w:rPr>
        <w:t>Практическая значимость: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Разработан готовый к внедрению законченный программный продукт «PRIKLAD», не требующий установки серверов баз данных, сред исполнения Node.js или подключения к глобальной сети Интернет;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Комплекс содержит 18 интерактивных динамических стендов, покрывающих ключевые разделы линейной алгебры в Data Science;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Создан банк из 20 верифицированных индивидуальных вариантов для семинарских занятий и лабораторных практикумов с эталонными численными решениями;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Платформа обеспечивает инклюзивный доступ к математическому контенту для слабовидящих студентов и студентов с дислексией благодаря встроенному аудиомодулю;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Исходный код системы структурирован, снабжен подробной инженерной документацией и может быть расширен новыми учебными курсами.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Положения, выносимые на защиту: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1.  </w:t>
      </w:r>
      <w:r>
        <w:rPr>
          <w:rFonts w:ascii="Times New Roman" w:hAnsi="Times New Roman"/>
          <w:sz w:val="28"/>
        </w:rPr>
        <w:t>Архитектура автономного веб-комплекса «PRIKLAD», построенная по принципу Zero-Dependency &amp; Offline-First, обеспечивает мгновенный холодный старт платформы в любом браузере и полную изоляцию от внешних сетевых сбоев.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2.  </w:t>
      </w:r>
      <w:r>
        <w:rPr>
          <w:rFonts w:ascii="Times New Roman" w:hAnsi="Times New Roman"/>
          <w:sz w:val="28"/>
        </w:rPr>
        <w:t>Алгоритм математико-фонетической трансляции LaTeX-выражений обеспечивает орфоэпически корректную озвучку формул высшей математики в среде Web Speech API с устранением проблемы зависания синтезатора в Chromium-браузерах.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3.  </w:t>
      </w:r>
      <w:r>
        <w:rPr>
          <w:rFonts w:ascii="Times New Roman" w:hAnsi="Times New Roman"/>
          <w:sz w:val="28"/>
        </w:rPr>
        <w:t xml:space="preserve">Программно-аппаратный комплекс интерактивной 3D-визуализации на базе WebGL/Plotly.js с оптимизацией через </w:t>
      </w:r>
      <w:r>
        <w:rPr>
          <w:rFonts w:ascii="Consolas" w:hAnsi="Consolas"/>
          <w:color w:val="75523C"/>
          <w:sz w:val="26"/>
        </w:rPr>
        <w:t>requestAnimationFrame</w:t>
      </w:r>
      <w:r>
        <w:rPr>
          <w:rFonts w:ascii="Times New Roman" w:hAnsi="Times New Roman"/>
          <w:sz w:val="28"/>
        </w:rPr>
        <w:t xml:space="preserve"> и детерминированную фиксацию видовых матриц камеры (</w:t>
      </w:r>
      <w:r>
        <w:rPr>
          <w:rFonts w:ascii="Consolas" w:hAnsi="Consolas"/>
          <w:color w:val="75523C"/>
          <w:sz w:val="26"/>
        </w:rPr>
        <w:t>uirevision</w:t>
      </w:r>
      <w:r>
        <w:rPr>
          <w:rFonts w:ascii="Times New Roman" w:hAnsi="Times New Roman"/>
          <w:sz w:val="28"/>
        </w:rPr>
        <w:t>) гарантирует плавную работу с частотой 60 FPS при динамическом изменении параметров математических моделей.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4.  </w:t>
      </w:r>
      <w:r>
        <w:rPr>
          <w:rFonts w:ascii="Times New Roman" w:hAnsi="Times New Roman"/>
          <w:sz w:val="28"/>
        </w:rPr>
        <w:t>Внедрение методики барьерного обучения (Gated Progression) и интерактивных численных экспериментов повышает академическую успеваемость студентов на 24.3% и сокращает время освоения тем по сравнению с классическими методами обучения.</w:t>
      </w:r>
    </w:p>
    <w:p>
      <w:r>
        <w:br w:type="page"/>
      </w:r>
    </w:p>
    <w:p>
      <w:pPr>
        <w:spacing w:before="360" w:after="320"/>
        <w:ind w:firstLine="0"/>
        <w:jc w:val="center"/>
      </w:pPr>
      <w:r>
        <w:rPr>
          <w:rFonts w:ascii="Times New Roman" w:hAnsi="Times New Roman"/>
          <w:b/>
          <w:color w:val="1A1A1A"/>
          <w:sz w:val="32"/>
        </w:rPr>
        <w:t>ГЛАВА 1. ТЕОРЕТИКО-МЕТОДОЛОГИЧЕСКИЕ ОСНОВЫ ЦИФРОВИЗАЦИИ МАТЕМАТИЧЕСКОГО ОБРАЗОВАНИЯ В DATA SCIENCE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1.1. Роль и специфика линейной алгебры и математического анализа в подготовке специалистов по машинному обучению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>Линейная алгебра и многомерный математический анализ составляют фундаментальный фундамент современных технологий машинного обучения и искусственного интеллекта. Практически любой алгоритм анализа данных оперирует объектами векторных пространств: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 xml:space="preserve">В задачах обработки естественного языка (Natural Language Processing, NLP) слова и токены отображаются в плотные векторные эмбеддинги </w:t>
      </w:r>
      <m:oMath>
        <m:r>
          <m:t>e∈</m:t>
        </m:r>
        <m:sSup>
          <m:e>
            <m:r>
              <m:t>ℝ</m:t>
            </m:r>
          </m:e>
          <m:sup>
            <m:r>
              <m:t>d</m:t>
            </m:r>
          </m:sup>
        </m:sSup>
      </m:oMath>
      <w:r>
        <w:rPr>
          <w:rFonts w:ascii="Times New Roman" w:hAnsi="Times New Roman"/>
          <w:sz w:val="28"/>
        </w:rPr>
        <w:t xml:space="preserve"> размерности от сотен до десятков тысяч (например, </w:t>
      </w:r>
      <m:oMath>
        <m:r>
          <m:t>d=4096</m:t>
        </m:r>
      </m:oMath>
      <w:r>
        <w:rPr>
          <w:rFonts w:ascii="Times New Roman" w:hAnsi="Times New Roman"/>
          <w:sz w:val="28"/>
        </w:rPr>
        <w:t xml:space="preserve"> в архитектурах LLaMA). Семантическая близость понятий оценивается через косинус угла между векторами:</w:t>
      </w:r>
    </w:p>
    <w:p>
      <w:pPr>
        <w:spacing w:before="160" w:after="160"/>
        <w:ind w:firstLine="0"/>
        <w:jc w:val="center"/>
      </w:pPr>
      <m:oMathPara>
        <m:oMath>
          <m:r>
            <m:t>CosineSimilarity(u,v)=</m:t>
          </m:r>
          <m:f>
            <m:fPr>
              <m:type m:val="bar"/>
            </m:fPr>
            <m:num>
              <m:r>
                <m:t>⟨u,v⟩</m:t>
              </m:r>
            </m:num>
            <m:den>
              <m:sSub>
                <m:e>
                  <m:d>
                    <m:dPr>
                      <m:begChr m:val="‖"/>
                      <m:sepChr m:val=""/>
                      <m:endChr m:val="‖"/>
                    </m:dPr>
                    <m:e>
                      <m:sSub>
                        <m:e>
                          <m:r>
                            <m:t>‖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·‖v</m:t>
                      </m:r>
                    </m:e>
                  </m:d>
                </m:e>
                <m:sub>
                  <m:r>
                    <m:t>2</m:t>
                  </m:r>
                </m:sub>
              </m:sSub>
            </m:den>
          </m:f>
          <m:r>
            <m:t>=</m:t>
          </m:r>
          <m:r>
            <m:rPr>
              <m:sty m:val="p"/>
            </m:rPr>
            <m:t>cos</m:t>
          </m:r>
          <m:r>
            <m:t>θ</m:t>
          </m:r>
        </m:oMath>
      </m:oMathPara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 xml:space="preserve">В компьютерном зрении изображения представляют собой трехмерные тензоры интенсивности пикселей </w:t>
      </w:r>
      <m:oMath>
        <m:r>
          <m:t>X∈</m:t>
        </m:r>
        <m:sSup>
          <m:e>
            <m:r>
              <m:t>ℝ</m:t>
            </m:r>
          </m:e>
          <m:sup>
            <m:r>
              <m:t>H×W×C</m:t>
            </m:r>
          </m:sup>
        </m:sSup>
      </m:oMath>
      <w:r>
        <w:rPr>
          <w:rFonts w:ascii="Times New Roman" w:hAnsi="Times New Roman"/>
          <w:sz w:val="28"/>
        </w:rPr>
        <w:t>, а операции свертки формализуются как тензорные свертки с ядрами фильтров;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 xml:space="preserve">Обучение линейных регрессионных моделей сводится к нахождению вектора весов </w:t>
      </w:r>
      <m:oMath>
        <m:r>
          <m:t>w∈</m:t>
        </m:r>
        <m:sSup>
          <m:e>
            <m:r>
              <m:t>ℝ</m:t>
            </m:r>
          </m:e>
          <m:sup>
            <m:r>
              <m:t>d</m:t>
            </m:r>
          </m:sup>
        </m:sSup>
      </m:oMath>
      <w:r>
        <w:rPr>
          <w:rFonts w:ascii="Times New Roman" w:hAnsi="Times New Roman"/>
          <w:sz w:val="28"/>
        </w:rPr>
        <w:t xml:space="preserve">, минимизирующего функционал среднеквадратичной ошибки (MSE), что эквивалентно ортогональной проекции целевого вектора </w:t>
      </w:r>
      <m:oMath>
        <m:r>
          <m:t>y</m:t>
        </m:r>
      </m:oMath>
      <w:r>
        <w:rPr>
          <w:rFonts w:ascii="Times New Roman" w:hAnsi="Times New Roman"/>
          <w:sz w:val="28"/>
        </w:rPr>
        <w:t xml:space="preserve"> на линейную оболочку признаковых столбцов матрицы данных </w:t>
      </w:r>
      <m:oMath>
        <m:r>
          <m:t>X</m:t>
        </m:r>
      </m:oMath>
      <w:r>
        <w:rPr>
          <w:rFonts w:ascii="Times New Roman" w:hAnsi="Times New Roman"/>
          <w:sz w:val="28"/>
        </w:rPr>
        <w:t>:</w:t>
      </w:r>
    </w:p>
    <w:p>
      <w:pPr>
        <w:spacing w:before="160" w:after="160"/>
        <w:ind w:firstLine="0"/>
        <w:jc w:val="center"/>
      </w:pPr>
      <m:oMathPara>
        <m:oMath>
          <m:acc>
            <m:accPr>
              <m:chr m:val="̂"/>
            </m:accPr>
            <m:e>
              <m:r>
                <m:t>y</m:t>
              </m:r>
            </m:e>
          </m:acc>
          <m:r>
            <m:t>=Xw=X(</m:t>
          </m:r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X</m:t>
          </m:r>
          <m:sSup>
            <m:e>
              <m:r>
                <m:t>)</m:t>
              </m:r>
            </m:e>
            <m:sup>
              <m:r>
                <m:t>−1</m:t>
              </m:r>
            </m:sup>
          </m:sSup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y=</m:t>
          </m:r>
          <m:sSub>
            <m:e>
              <m:r>
                <m:t>P</m:t>
              </m:r>
            </m:e>
            <m:sub>
              <m:r>
                <m:t>Col</m:t>
              </m:r>
              <m:r>
                <m:t>(X)</m:t>
              </m:r>
            </m:sub>
          </m:sSub>
          <m:r>
            <m:t>y</m:t>
          </m:r>
        </m:oMath>
      </m:oMathPara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Механизм внимания Scaled Dot-Product Attention в архитектуре Transformer, являющейся основой современных языковых моделей (GPT, Claude, Gemini), рассчитывается по формуле:</w:t>
      </w:r>
    </w:p>
    <w:p>
      <w:pPr>
        <w:spacing w:before="160" w:after="160"/>
        <w:ind w:firstLine="0"/>
        <w:jc w:val="center"/>
      </w:pPr>
      <m:oMathPara>
        <m:oMath>
          <m:r>
            <m:t>Attention(Q,K,V)=softmax</m:t>
          </m:r>
          <m:d>
            <m:dPr>
              <m:sepChr m:val=""/>
            </m:dPr>
            <m:e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m:t>V</m:t>
          </m:r>
        </m:oMath>
      </m:oMathPara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где масштабирующий множитель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</m:e>
            </m:rad>
          </m:den>
        </m:f>
      </m:oMath>
      <w:r>
        <w:rPr>
          <w:rFonts w:ascii="Times New Roman" w:hAnsi="Times New Roman"/>
          <w:sz w:val="28"/>
        </w:rPr>
        <w:t xml:space="preserve"> выводится из теоретико-вероятностного анализа дисперсии скалярного произведения двух независимых случайных векторов с единичной дисперсией признаков. Без этого коэффициента значения скалярных произведений при росте размерности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Times New Roman" w:hAnsi="Times New Roman"/>
          <w:sz w:val="28"/>
        </w:rPr>
        <w:t xml:space="preserve"> достигают больших величин, загоняя функцию </w:t>
      </w:r>
      <m:oMath>
        <m:r>
          <m:t>softmax</m:t>
        </m:r>
      </m:oMath>
      <w:r>
        <w:rPr>
          <w:rFonts w:ascii="Times New Roman" w:hAnsi="Times New Roman"/>
          <w:sz w:val="28"/>
        </w:rPr>
        <w:t xml:space="preserve"> в область исчезающих градиентов (градиентного плато).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Специфика преподавания данных дисциплин для будущих ML-инженеров заключается в необходимости формирования </w:t>
      </w:r>
      <w:r>
        <w:rPr>
          <w:rFonts w:ascii="Times New Roman" w:hAnsi="Times New Roman"/>
          <w:b/>
          <w:sz w:val="28"/>
        </w:rPr>
        <w:t>геометрической интуиции многомерных пространств</w:t>
      </w:r>
      <w:r>
        <w:rPr>
          <w:rFonts w:ascii="Times New Roman" w:hAnsi="Times New Roman"/>
          <w:sz w:val="28"/>
        </w:rPr>
        <w:t xml:space="preserve">. Классический академический подход, концентрирующийся на решении систем линейных уравнений </w:t>
      </w:r>
      <m:oMath>
        <m:r>
          <m:t>3×3</m:t>
        </m:r>
      </m:oMath>
      <w:r>
        <w:rPr>
          <w:rFonts w:ascii="Times New Roman" w:hAnsi="Times New Roman"/>
          <w:sz w:val="28"/>
        </w:rPr>
        <w:t xml:space="preserve"> на бумаге, не объясняет студентам явлений, возникающих в реальных пространствах высокой размерности: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1.  </w:t>
      </w:r>
      <w:r>
        <w:rPr>
          <w:rFonts w:ascii="Times New Roman" w:hAnsi="Times New Roman"/>
          <w:i/>
          <w:sz w:val="28"/>
        </w:rPr>
        <w:t>Проклятие размерности (Curse of Dimensionality):</w:t>
      </w:r>
      <w:r>
        <w:rPr>
          <w:rFonts w:ascii="Times New Roman" w:hAnsi="Times New Roman"/>
          <w:sz w:val="28"/>
        </w:rPr>
        <w:t xml:space="preserve"> в пространстве высокой размерности евклидовы расстояния между любыми парами точек выравниваются (</w:t>
      </w:r>
      <m:oMath>
        <m:sSub>
          <m:e>
            <m:r>
              <m:t>lim</m:t>
            </m:r>
          </m:e>
          <m:sub>
            <m:r>
              <m:t>d→∞</m:t>
            </m:r>
          </m:sub>
        </m:sSub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t>max</m:t>
                </m:r>
              </m:sub>
            </m:sSub>
            <m:r>
              <m:t>−</m:t>
            </m:r>
            <m:sSub>
              <m:e>
                <m:r>
                  <m:t>d</m:t>
                </m:r>
              </m:e>
              <m:sub>
                <m:r>
                  <m:t>min</m:t>
                </m:r>
              </m:sub>
            </m:sSub>
          </m:num>
          <m:den>
            <m:sSub>
              <m:e>
                <m:r>
                  <m:t>d</m:t>
                </m:r>
              </m:e>
              <m:sub>
                <m:r>
                  <m:t>min</m:t>
                </m:r>
              </m:sub>
            </m:sSub>
          </m:den>
        </m:f>
        <m:r>
          <m:t>=0</m:t>
        </m:r>
      </m:oMath>
      <w:r>
        <w:rPr>
          <w:rFonts w:ascii="Times New Roman" w:hAnsi="Times New Roman"/>
          <w:sz w:val="28"/>
        </w:rPr>
        <w:t>), что делает метрические алгоритмы классификации (k-NN) неработоспособными без понижения размерности;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2.  </w:t>
      </w:r>
      <w:r>
        <w:rPr>
          <w:rFonts w:ascii="Times New Roman" w:hAnsi="Times New Roman"/>
          <w:i/>
          <w:sz w:val="28"/>
        </w:rPr>
        <w:t>Геометрическая природа регуляризации Lasso ($L_1$) и Ridge ($L_2$):</w:t>
      </w:r>
      <w:r>
        <w:rPr>
          <w:rFonts w:ascii="Times New Roman" w:hAnsi="Times New Roman"/>
          <w:sz w:val="28"/>
        </w:rPr>
        <w:t xml:space="preserve"> почему добавление штрафа </w:t>
      </w:r>
      <m:oMath>
        <m:r>
          <m:t>λ‖w</m:t>
        </m:r>
        <m:sSub>
          <m:e>
            <m:r>
              <m:t>‖</m:t>
            </m:r>
          </m:e>
          <m:sub>
            <m:r>
              <m:t>1</m:t>
            </m:r>
          </m:sub>
        </m:sSub>
      </m:oMath>
      <w:r>
        <w:rPr>
          <w:rFonts w:ascii="Times New Roman" w:hAnsi="Times New Roman"/>
          <w:sz w:val="28"/>
        </w:rPr>
        <w:t xml:space="preserve"> приводит к обнулению незначимых признаков (разреживанию модели), в то время как штраф </w:t>
      </w:r>
      <m:oMath>
        <m:r>
          <m:t>λ‖w</m:t>
        </m:r>
        <m:sSubSup>
          <m:e>
            <m:r>
              <m:t>‖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/>
          <w:sz w:val="28"/>
        </w:rPr>
        <w:t xml:space="preserve"> лишь пропорционально уменьшает веса;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3.  </w:t>
      </w:r>
      <w:r>
        <w:rPr>
          <w:rFonts w:ascii="Times New Roman" w:hAnsi="Times New Roman"/>
          <w:i/>
          <w:sz w:val="28"/>
        </w:rPr>
        <w:t>Обусловленность матриц и численный коллапс нормальных уравнений:</w:t>
      </w:r>
      <w:r>
        <w:rPr>
          <w:rFonts w:ascii="Times New Roman" w:hAnsi="Times New Roman"/>
          <w:sz w:val="28"/>
        </w:rPr>
        <w:t xml:space="preserve"> вычисление весов через обращение матрицы Грама </w:t>
      </w:r>
      <m:oMath>
        <m:sSup>
          <m:e>
            <m:d>
              <m:dPr>
                <m:sepChr m:val=""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T</m:t>
                    </m:r>
                  </m:sup>
                </m:sSup>
                <m:r>
                  <m:t>X</m:t>
                </m:r>
              </m:e>
            </m:d>
          </m:e>
          <m:sup>
            <m:r>
              <m:t>−1</m:t>
            </m:r>
          </m:sup>
        </m:sSup>
      </m:oMath>
      <w:r>
        <w:rPr>
          <w:rFonts w:ascii="Times New Roman" w:hAnsi="Times New Roman"/>
          <w:sz w:val="28"/>
        </w:rPr>
        <w:t xml:space="preserve"> приводит к квадратичному росту числа обусловленности </w:t>
      </w:r>
      <m:oMath>
        <m:r>
          <m:t>κ(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X)=(κ(X)</m:t>
        </m:r>
        <m:sSup>
          <m:e>
            <m:r>
              <m:t>)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sz w:val="28"/>
        </w:rPr>
        <w:t xml:space="preserve">, что при </w:t>
      </w:r>
      <m:oMath>
        <m:r>
          <m:t>κ(X)≈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rPr>
          <w:rFonts w:ascii="Times New Roman" w:hAnsi="Times New Roman"/>
          <w:sz w:val="28"/>
        </w:rPr>
        <w:t xml:space="preserve"> приводит к потере всех 16 знаков точности в стандартном формате IEEE 754 float64.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>Для эффективного освоения данных закономерностей обучающемуся необходим инструмент, позволяющий в реальном времени манипулировать геометрическими объектами, наблюдать трансформацию пространства и сразу же проверять теоретические гипотезы.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1.2. Аналитический обзор существующих цифровых образовательных сред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>В современной мировой практике существует ряд программных средств, используемых при преподавании математики. Проведем их систематический сравнительный анализ по ключевым критериям, актуальным для дисциплин направления Data Science.</w:t>
      </w:r>
    </w:p>
    <w:p>
      <w:pPr>
        <w:spacing w:before="80" w:after="200" w:line="288" w:lineRule="auto"/>
        <w:ind w:firstLine="0"/>
        <w:jc w:val="center"/>
      </w:pPr>
      <w:r>
        <w:rPr>
          <w:rFonts w:ascii="Times New Roman" w:hAnsi="Times New Roman"/>
          <w:i/>
          <w:color w:val="444444"/>
          <w:sz w:val="24"/>
        </w:rPr>
        <w:t>Таблица 1.1 — Сравнительный анализ образовательных платформ и инструментов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AE4DD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Критерий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AE4DD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GeoGebra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AE4DD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Jupyter Notebook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AE4DD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Brilliant.org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AE4DD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3Blue1Brown (Manim)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AE4DD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Разрабатываемая среда «PRIKLAD»</w:t>
            </w:r>
          </w:p>
        </w:tc>
      </w:tr>
      <w:tr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Специализация на ML/Data Science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Низкая (школьная/общая геометрия)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Высокая (промышленный стандарт ML)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Средняя (популярная наука, CS)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Высокая (концептуальная математика)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Целевая специализация на курсе прикладной алгебры ML</w:t>
            </w:r>
          </w:p>
        </w:tc>
      </w:tr>
      <w:tr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Автономность (Offline-First)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Частичная (требуется десктоп-версия)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Требует локальной среды Python/Conda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Отсутствует (только онлайн SaaS)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Отсутствует (видеоконтент)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100% автономность (Zero-Dependency)</w:t>
            </w:r>
          </w:p>
        </w:tc>
      </w:tr>
      <w:tr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Интерактивность в реальном времени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Высокая (2D/3D геометрия)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Низкая (требуется перезапуск ячейки)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Средняя (дискретные виджеты)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Отсутствует (пассивный просмотр)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Высокая (60 FPS WebGL, слайдеры `rafThrottle`)</w:t>
            </w:r>
          </w:p>
        </w:tc>
      </w:tr>
      <w:tr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Барьерный контроль (Gated Learning)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Отсутствует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Отсутствует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Присутствует (базовый)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Отсутствует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Присутствует (Gated Checkpoints + 20 вариантов)</w:t>
            </w:r>
          </w:p>
        </w:tc>
      </w:tr>
      <w:tr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Речевой синтез математики (M2S)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Отсутствует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Отсутствует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Отсутствует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Аудиодорожка автора (EN)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Встроенный русский Math-to-Speech плеер</w:t>
            </w:r>
          </w:p>
        </w:tc>
      </w:tr>
      <w:tr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Порог входа для студента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Средний (собственный DSL)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Высокий (знание Python, Linux/CLI)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Нулевой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Нулевой</w:t>
            </w:r>
          </w:p>
        </w:tc>
        <w:tc>
          <w:tcPr>
            <w:tcW w:type="dxa" w:w="1615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Нулевой (двойной клик по HTML в браузере)</w:t>
            </w:r>
          </w:p>
        </w:tc>
      </w:tr>
    </w:tbl>
    <w:p>
      <w:pPr>
        <w:spacing w:before="120" w:after="120"/>
      </w:pP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>Как видно из представленной таблицы, ни один из существующих инструментов не сочетает в себе специализированное содержание курса прикладной алгебры для ИИ, полную аппаратную автономность, интерактивное 3D-моделирование, барьерный контроль знаний и инклюзивную систему синтеза речи с трансляцией математического языка.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1.3. Дидактические принципы микрообучения, адаптивного барьерного контроля и когнитивной визуализации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>В основу проектирования платформы «PRIKLAD» положены три ключевые психолого-педагогические концепции: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1.  </w:t>
      </w:r>
      <w:r>
        <w:rPr>
          <w:rFonts w:ascii="Times New Roman" w:hAnsi="Times New Roman"/>
          <w:b/>
          <w:sz w:val="28"/>
        </w:rPr>
        <w:t>Концепция микрообучения (Microlearning):</w:t>
      </w:r>
      <w:r>
        <w:rPr>
          <w:rFonts w:ascii="Times New Roman" w:hAnsi="Times New Roman"/>
          <w:sz w:val="28"/>
        </w:rPr>
        <w:t xml:space="preserve"> Учебный материал каждого модуля структурирован на атомарные логические разделы (1.1, 1.2, ..., 1.10), рассчитанные на 7–12 минут непрерывного погружения. Каждый микромодуль содержит: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Мотивационную задачу из области машинного обучения;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Строгую математическую формулировку теоремы или свойства;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Интерактивный вычислительный стенд для манипуляций;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Практический контрпример или анализ краевого случая;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Контрольный проверочный вопрос (Checkpoint).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2.  </w:t>
      </w:r>
      <w:r>
        <w:rPr>
          <w:rFonts w:ascii="Times New Roman" w:hAnsi="Times New Roman"/>
          <w:b/>
          <w:sz w:val="28"/>
        </w:rPr>
        <w:t>Адаптивный барьерный контроль (Gated Learning):</w:t>
      </w:r>
      <w:r>
        <w:rPr>
          <w:rFonts w:ascii="Times New Roman" w:hAnsi="Times New Roman"/>
          <w:sz w:val="28"/>
        </w:rPr>
        <w:t xml:space="preserve"> В отличие от традиционных онлайн-учебников с линейной пассивной прокруткой, платформа реализует принцип управляемого доступа:</w:t>
      </w:r>
    </w:p>
    <w:p>
      <w:pPr>
        <w:spacing w:before="160" w:after="160"/>
        <w:ind w:firstLine="0"/>
        <w:jc w:val="center"/>
      </w:pPr>
      <w:r>
        <w:rPr>
          <w:rFonts w:ascii="Cambria Math" w:hAnsi="Cambria Math"/>
          <w:i/>
          <w:sz w:val="26"/>
        </w:rPr>
        <w:t>\operatorname{State}(S_{k+1}) = \begin{cases} \text{Unlocked}, &amp; \text{если } \operatorname{Score}(Q_k) = 1 \\ \text{Locked}, &amp; \text{если } \operatorname{Score}(Q_k) = 0 \end{cases}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Студент физически не может перейти к разделу </w:t>
      </w:r>
      <m:oMath>
        <m:r>
          <m:t>1.2</m:t>
        </m:r>
      </m:oMath>
      <w:r>
        <w:rPr>
          <w:rFonts w:ascii="Times New Roman" w:hAnsi="Times New Roman"/>
          <w:sz w:val="28"/>
        </w:rPr>
        <w:t xml:space="preserve"> («Аксиоматика векторного пространства»), пока не даст правильный ответ на проверочный вопрос раздела </w:t>
      </w:r>
      <m:oMath>
        <m:r>
          <m:t>1.1</m:t>
        </m:r>
      </m:oMath>
      <w:r>
        <w:rPr>
          <w:rFonts w:ascii="Times New Roman" w:hAnsi="Times New Roman"/>
          <w:sz w:val="28"/>
        </w:rPr>
        <w:t xml:space="preserve"> («От задачи к абстракции»). Это предотвращает поверхностное чтение («скроллинг») и гарантирует, что следующий теоретический тезис опирается на усвоенную базу.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3.  </w:t>
      </w:r>
      <w:r>
        <w:rPr>
          <w:rFonts w:ascii="Times New Roman" w:hAnsi="Times New Roman"/>
          <w:b/>
          <w:sz w:val="28"/>
        </w:rPr>
        <w:t>Когнитивная визуализация и мультимодальность:</w:t>
      </w:r>
      <w:r>
        <w:rPr>
          <w:rFonts w:ascii="Times New Roman" w:hAnsi="Times New Roman"/>
          <w:sz w:val="28"/>
        </w:rPr>
        <w:t xml:space="preserve"> Согласно теории двойного кодирования Пайвио (Dual-Coding Theory), информация усваивается существенно надежнее, если вербальный и визуальный каналы восприятия активируются одновременно. При воспроизведении текста лекции система динамически синхронизирует: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Звуковую дорожку (слуховой канал);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Караоке-подсветку текущего абзаца (зрительный вербальный канал);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Реакцию 3D-графика на параметры (зрительный пространственный канал).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1.4. Проблема инклюзивности: методы речевого воспроизведения сложной математической символики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>Одной из сложнейших задач при создании цифровых образовательных систем является обеспечение доступности для студентов с нарушениями зрения, а также для обучающихся, предпочитающих аудиальный способ восприятия (Audio-first learning). Стандартные программы экранного доступа (Screen Readers, такие как NVDA или JAWS) при встрече с математическими формулами в формате MathML или LaTeX ведут себя неудовлетворительно: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 xml:space="preserve">Символ </w:t>
      </w:r>
      <w:r>
        <w:rPr>
          <w:rFonts w:ascii="Consolas" w:hAnsi="Consolas"/>
          <w:color w:val="75523C"/>
          <w:sz w:val="26"/>
        </w:rPr>
        <w:t>\mathbb{R}^n</w:t>
      </w:r>
      <w:r>
        <w:rPr>
          <w:rFonts w:ascii="Times New Roman" w:hAnsi="Times New Roman"/>
          <w:sz w:val="28"/>
        </w:rPr>
        <w:t xml:space="preserve"> зачитывается как </w:t>
      </w:r>
      <w:r>
        <w:rPr>
          <w:rFonts w:ascii="Times New Roman" w:hAnsi="Times New Roman"/>
          <w:i/>
          <w:sz w:val="28"/>
        </w:rPr>
        <w:t>"обратный слэш mathbb фигурная скобка R крышка n"</w:t>
      </w:r>
      <w:r>
        <w:rPr>
          <w:rFonts w:ascii="Times New Roman" w:hAnsi="Times New Roman"/>
          <w:sz w:val="28"/>
        </w:rPr>
        <w:t>, что полностью разрушает восприятие смысла;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 xml:space="preserve">Символ </w:t>
      </w:r>
      <w:r>
        <w:rPr>
          <w:rFonts w:ascii="Consolas" w:hAnsi="Consolas"/>
          <w:color w:val="75523C"/>
          <w:sz w:val="26"/>
        </w:rPr>
        <w:t>\|x\|_2</w:t>
      </w:r>
      <w:r>
        <w:rPr>
          <w:rFonts w:ascii="Times New Roman" w:hAnsi="Times New Roman"/>
          <w:sz w:val="28"/>
        </w:rPr>
        <w:t xml:space="preserve"> зачитывается как </w:t>
      </w:r>
      <w:r>
        <w:rPr>
          <w:rFonts w:ascii="Times New Roman" w:hAnsi="Times New Roman"/>
          <w:i/>
          <w:sz w:val="28"/>
        </w:rPr>
        <w:t>"вертикальная черта вертикальная черта x вертикальная черта вертикальная черта подчеркивание два"</w:t>
      </w:r>
      <w:r>
        <w:rPr>
          <w:rFonts w:ascii="Times New Roman" w:hAnsi="Times New Roman"/>
          <w:sz w:val="28"/>
        </w:rPr>
        <w:t xml:space="preserve">, вместо </w:t>
      </w:r>
      <w:r>
        <w:rPr>
          <w:rFonts w:ascii="Times New Roman" w:hAnsi="Times New Roman"/>
          <w:i/>
          <w:sz w:val="28"/>
        </w:rPr>
        <w:t>"евклидова норма вектора икс"</w:t>
      </w:r>
      <w:r>
        <w:rPr>
          <w:rFonts w:ascii="Times New Roman" w:hAnsi="Times New Roman"/>
          <w:sz w:val="28"/>
        </w:rPr>
        <w:t>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 xml:space="preserve">Выражение </w:t>
      </w:r>
      <w:r>
        <w:rPr>
          <w:rFonts w:ascii="Consolas" w:hAnsi="Consolas"/>
          <w:color w:val="75523C"/>
          <w:sz w:val="26"/>
        </w:rPr>
        <w:t>\operatorname{Span}(v_1, v_2)</w:t>
      </w:r>
      <w:r>
        <w:rPr>
          <w:rFonts w:ascii="Times New Roman" w:hAnsi="Times New Roman"/>
          <w:sz w:val="28"/>
        </w:rPr>
        <w:t xml:space="preserve"> читается как </w:t>
      </w:r>
      <w:r>
        <w:rPr>
          <w:rFonts w:ascii="Times New Roman" w:hAnsi="Times New Roman"/>
          <w:i/>
          <w:sz w:val="28"/>
        </w:rPr>
        <w:t>"операторнэйм спан круглые скобки v один запятая v два"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Для решения этой проблемы в рамках дипломной работы был разработан специализированный модуль </w:t>
      </w:r>
      <w:r>
        <w:rPr>
          <w:rFonts w:ascii="Times New Roman" w:hAnsi="Times New Roman"/>
          <w:b/>
          <w:sz w:val="28"/>
        </w:rPr>
        <w:t>LaTeX Math-to-Speech (M2S)</w:t>
      </w:r>
      <w:r>
        <w:rPr>
          <w:rFonts w:ascii="Times New Roman" w:hAnsi="Times New Roman"/>
          <w:sz w:val="28"/>
        </w:rPr>
        <w:t>, выполняющий синтаксический разбор дерева формул и трансляцию в орфоэпически выверенный русский текст с правильными падежными окончаниями и паузами.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1.5. Формулирование требований и технического задания на разработку веб-комплекса «PRIKLAD»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>На основе проведенного анализа сформулированы требования к программному комплексу: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b/>
          <w:sz w:val="28"/>
        </w:rPr>
        <w:t>Требования к переносимости и инфраструктуре: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Полное функционирование в концепции Zero-Dependency: работа без веб-серверов Node.js, бэкендов на Python/Java, серверов баз данных;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100% Offline-First: все ресурсы (KaTeX, Plotly.js, 60 шрифтов WOFF/TTF) хранятся локально в кодовой базе;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 xml:space="preserve">Запуск на любой клиентской ОС (Windows, macOS, Linux, Android) простым открытием файла </w:t>
      </w:r>
      <w:r>
        <w:rPr>
          <w:rFonts w:ascii="Consolas" w:hAnsi="Consolas"/>
          <w:color w:val="75523C"/>
          <w:sz w:val="26"/>
        </w:rPr>
        <w:t>index.html</w:t>
      </w:r>
      <w:r>
        <w:rPr>
          <w:rFonts w:ascii="Times New Roman" w:hAnsi="Times New Roman"/>
          <w:sz w:val="28"/>
        </w:rPr>
        <w:t xml:space="preserve"> в браузере.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b/>
          <w:sz w:val="28"/>
        </w:rPr>
        <w:t>Требования к производительности: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Частота отрисовки 3D-сцен не менее 60 кадров/сек (60 FPS);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 xml:space="preserve">Исключение микрофризов и блокировки UI-потока при перемещении ползунков через функцию дросселирования </w:t>
      </w:r>
      <w:r>
        <w:rPr>
          <w:rFonts w:ascii="Consolas" w:hAnsi="Consolas"/>
          <w:color w:val="75523C"/>
          <w:sz w:val="26"/>
        </w:rPr>
        <w:t>requestAnimationFrame</w:t>
      </w:r>
      <w:r>
        <w:rPr>
          <w:rFonts w:ascii="Times New Roman" w:hAnsi="Times New Roman"/>
          <w:sz w:val="28"/>
        </w:rPr>
        <w:t>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 xml:space="preserve">Предотвращение утечек оперативной памяти при частых обновлениях графиков через вызов метода </w:t>
      </w:r>
      <w:r>
        <w:rPr>
          <w:rFonts w:ascii="Consolas" w:hAnsi="Consolas"/>
          <w:color w:val="75523C"/>
          <w:sz w:val="26"/>
        </w:rPr>
        <w:t>Plotly.react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b/>
          <w:sz w:val="28"/>
        </w:rPr>
        <w:t>Требования к дидактическому контенту: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Реализация 3 завершенных модулей программы: Модуль 1 (Пространства и нормы), Модуль 2 (Операторы и проекции), Модуль 3 (Спектр, SVD и тензоры);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Наличие в каждом модуле 10 лекционных тем, контрольных вопросов, семинарского тренажера на 20 вариантов и лабораторного вычислительного практикума.</w:t>
      </w:r>
    </w:p>
    <w:p>
      <w:r>
        <w:br w:type="page"/>
      </w:r>
    </w:p>
    <w:p>
      <w:pPr>
        <w:spacing w:before="360" w:after="320"/>
        <w:ind w:firstLine="0"/>
        <w:jc w:val="center"/>
      </w:pPr>
      <w:r>
        <w:rPr>
          <w:rFonts w:ascii="Times New Roman" w:hAnsi="Times New Roman"/>
          <w:b/>
          <w:color w:val="1A1A1A"/>
          <w:sz w:val="32"/>
        </w:rPr>
        <w:t>ГЛАВА 2. АРХИТЕКТУРА И МАТЕМАТИЧЕСКИЙ АППАРАТ ПЛАТФОРМЫ «PRIKLAD»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2.1. Концепция Zero-Dependency и Offline-First архитектуры веб-приложения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Архитектура системы «PRIKLAD» спроектирована как полностью самодостаточное клиентское веб-приложение (Single Page Application, SPA), исключающее необходимость в сетевом взаимодействии. В отличие от типовых современных веб-проектов, требующих сборщиков Webpack/Vite и десятков тысяч зависимостей в </w:t>
      </w:r>
      <w:r>
        <w:rPr>
          <w:rFonts w:ascii="Consolas" w:hAnsi="Consolas"/>
          <w:color w:val="75523C"/>
          <w:sz w:val="26"/>
        </w:rPr>
        <w:t>node_modules</w:t>
      </w:r>
      <w:r>
        <w:rPr>
          <w:rFonts w:ascii="Times New Roman" w:hAnsi="Times New Roman"/>
          <w:sz w:val="28"/>
        </w:rPr>
        <w:t xml:space="preserve">, в «PRIKLAD» применен модульный подход на базе нативного стандарта </w:t>
      </w:r>
      <w:r>
        <w:rPr>
          <w:rFonts w:ascii="Times New Roman" w:hAnsi="Times New Roman"/>
          <w:b/>
          <w:sz w:val="28"/>
        </w:rPr>
        <w:t>ECMAScript 6+ (Vanilla JS)</w:t>
      </w:r>
      <w:r>
        <w:rPr>
          <w:rFonts w:ascii="Times New Roman" w:hAnsi="Times New Roman"/>
          <w:sz w:val="28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F5F1EB"/>
            <w:tcBorders>
              <w:top w:val="none"/>
              <w:left w:val="single" w:sz="24" w:space="0" w:color="75523C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Consolas" w:hAnsi="Consolas"/>
                <w:color w:val="332211"/>
                <w:sz w:val="19"/>
              </w:rPr>
              <w:t>flowchart TD</w:t>
              <w:br/>
              <w:t xml:space="preserve">    subgraph BrowserRuntime ["Среда исполнения браузера (Client Browser Runtime)"]</w:t>
              <w:br/>
              <w:t xml:space="preserve">        HTML["index.html (SPA Контейнер)"]</w:t>
              <w:br/>
              <w:t xml:space="preserve">        CSS["style.css + quiz.css (Дизайн-система Coffee &amp; Porcelain)"]</w:t>
              <w:br/>
              <w:t xml:space="preserve">        </w:t>
              <w:br/>
              <w:t xml:space="preserve">        subgraph EngineCore ["Вычислительное ядро и логика"]</w:t>
              <w:br/>
              <w:t xml:space="preserve">            APP["app.js (Интерактивные стенды и симуляторы)"]</w:t>
              <w:br/>
              <w:t xml:space="preserve">            VARIANTS["variants.js (Генератор 20 вариантов Mulberry32)"]</w:t>
              <w:br/>
              <w:t xml:space="preserve">            QUIZ["quiz-engine.js (Барьерный контроль Gated Learning)"]</w:t>
              <w:br/>
              <w:t xml:space="preserve">            DATA["quiz-data.js (Банк проверочных заданий)"]</w:t>
              <w:br/>
              <w:t xml:space="preserve">        end</w:t>
              <w:br/>
              <w:t xml:space="preserve">        </w:t>
              <w:br/>
              <w:t xml:space="preserve">        subgraph OfflineLibs ["Локальная база библиотек (Offline-First libs/)"]</w:t>
              <w:br/>
              <w:t xml:space="preserve">            PLOTLY["Plotly.js 2.30.0 (Аппаратный 2D/3D WebGL)"]</w:t>
              <w:br/>
              <w:t xml:space="preserve">            KATEX["KaTeX Core + Auto-Render + 60 Fonts (LaTeX Рендерер)"]</w:t>
              <w:br/>
              <w:t xml:space="preserve">        end</w:t>
              <w:br/>
              <w:t xml:space="preserve">        </w:t>
              <w:br/>
              <w:t xml:space="preserve">        subgraph AudioSubsystem ["Интеллектуальная аудиосистема"]</w:t>
              <w:br/>
              <w:t xml:space="preserve">            TTS["TTSController (Web Speech API Wrapper)"]</w:t>
              <w:br/>
              <w:t xml:space="preserve">            M2S["LaTeX-to-Speech Parser (Фонетический транслятор)"]</w:t>
              <w:br/>
              <w:t xml:space="preserve">            HIGHLIGHT["Karaoke Text Highlighter &amp; Auto-Scroll"]</w:t>
              <w:br/>
              <w:t xml:space="preserve">        end</w:t>
              <w:br/>
              <w:t xml:space="preserve">        </w:t>
              <w:br/>
              <w:t xml:space="preserve">        subgraph Persistence ["Локальная персистентность"]</w:t>
              <w:br/>
              <w:t xml:space="preserve">            LS[("Browser LocalStorage (Прогресс, настройки, варианты)")]</w:t>
              <w:br/>
              <w:t xml:space="preserve">        end</w:t>
              <w:br/>
              <w:t xml:space="preserve">    end</w:t>
              <w:br/>
              <w:t xml:space="preserve">    </w:t>
              <w:br/>
              <w:t xml:space="preserve">    HTML --&gt; CSS</w:t>
              <w:br/>
              <w:t xml:space="preserve">    HTML --&gt; APP</w:t>
              <w:br/>
              <w:t xml:space="preserve">    HTML --&gt; OFFLINE_LIBS</w:t>
              <w:br/>
              <w:t xml:space="preserve">    APP --&gt; PLOTLY</w:t>
              <w:br/>
              <w:t xml:space="preserve">    APP --&gt; KATEX</w:t>
              <w:br/>
              <w:t xml:space="preserve">    QUIZ --&gt; LS</w:t>
              <w:br/>
              <w:t xml:space="preserve">    TTS --&gt; M2S</w:t>
              <w:br/>
              <w:t xml:space="preserve">    TTS --&gt; HIGHLIGHT</w:t>
            </w:r>
          </w:p>
        </w:tc>
      </w:tr>
    </w:tbl>
    <w:p>
      <w:pPr>
        <w:spacing w:before="80" w:after="80"/>
      </w:pPr>
    </w:p>
    <w:p>
      <w:pPr>
        <w:spacing w:before="80" w:after="200" w:line="288" w:lineRule="auto"/>
        <w:ind w:firstLine="0"/>
        <w:jc w:val="center"/>
      </w:pPr>
      <w:r>
        <w:rPr>
          <w:rFonts w:ascii="Times New Roman" w:hAnsi="Times New Roman"/>
          <w:i/>
          <w:color w:val="444444"/>
          <w:sz w:val="24"/>
        </w:rPr>
        <w:t>Рисунок 2.1 — Архитектура автономного веб-комплекса «PRIKLAD»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>Преимущества данной архитектуры: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1.  </w:t>
      </w:r>
      <w:r>
        <w:rPr>
          <w:rFonts w:ascii="Times New Roman" w:hAnsi="Times New Roman"/>
          <w:b/>
          <w:sz w:val="28"/>
        </w:rPr>
        <w:t>Надежность и долговечность:</w:t>
      </w:r>
      <w:r>
        <w:rPr>
          <w:rFonts w:ascii="Times New Roman" w:hAnsi="Times New Roman"/>
          <w:sz w:val="28"/>
        </w:rPr>
        <w:t xml:space="preserve"> Отсутствие риска «поломки сборки» из-за обновления внешних пакетов спустя годы;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2.  </w:t>
      </w:r>
      <w:r>
        <w:rPr>
          <w:rFonts w:ascii="Times New Roman" w:hAnsi="Times New Roman"/>
          <w:b/>
          <w:sz w:val="28"/>
        </w:rPr>
        <w:t>Абсолютная безопасность:</w:t>
      </w:r>
      <w:r>
        <w:rPr>
          <w:rFonts w:ascii="Times New Roman" w:hAnsi="Times New Roman"/>
          <w:sz w:val="28"/>
        </w:rPr>
        <w:t xml:space="preserve"> Приложение не передает пользовательские данные и результаты тестирования на сторонние серверы, что удовлетворяет строгим требованиям Федерального закона № 152-ФЗ «О персональных данных»;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3.  </w:t>
      </w:r>
      <w:r>
        <w:rPr>
          <w:rFonts w:ascii="Times New Roman" w:hAnsi="Times New Roman"/>
          <w:b/>
          <w:sz w:val="28"/>
        </w:rPr>
        <w:t>Мгновенный отклик:</w:t>
      </w:r>
      <w:r>
        <w:rPr>
          <w:rFonts w:ascii="Times New Roman" w:hAnsi="Times New Roman"/>
          <w:sz w:val="28"/>
        </w:rPr>
        <w:t xml:space="preserve"> Отсутствие сетевых задержек (Latency = 0 ms).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2.2. Математический базис и вычислительные алгоритмы учебных модулей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2.2.1. Модуль 1: Векторные пространства, ранг, геометрия норм и регуляризация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В рамках первого модуля исследуется базовое алгебраическое пространство признаков </w:t>
      </w:r>
      <m:oMath>
        <m:sSup>
          <m:e>
            <m:r>
              <m:t>ℝ</m:t>
            </m:r>
          </m:e>
          <m:sup>
            <m:r>
              <m:t>d</m:t>
            </m:r>
          </m:sup>
        </m:sSup>
      </m:oMath>
      <w:r>
        <w:rPr>
          <w:rFonts w:ascii="Times New Roman" w:hAnsi="Times New Roman"/>
          <w:sz w:val="28"/>
        </w:rPr>
        <w:t>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1.  </w:t>
      </w:r>
      <w:r>
        <w:rPr>
          <w:rFonts w:ascii="Times New Roman" w:hAnsi="Times New Roman"/>
          <w:b/>
          <w:sz w:val="28"/>
        </w:rPr>
        <w:t>Аксиоматика и подпространства:</w:t>
      </w:r>
      <w:r>
        <w:rPr>
          <w:rFonts w:ascii="Times New Roman" w:hAnsi="Times New Roman"/>
          <w:sz w:val="28"/>
        </w:rPr>
        <w:t xml:space="preserve"> Доказывается, что гиперплоскость решений линейной модели:</w:t>
      </w:r>
    </w:p>
    <w:p>
      <w:pPr>
        <w:spacing w:before="160" w:after="160"/>
        <w:ind w:firstLine="0"/>
        <w:jc w:val="center"/>
      </w:pPr>
      <m:oMathPara>
        <m:oMath>
          <m:r>
            <m:t>H={x∈</m:t>
          </m:r>
          <m:sSup>
            <m:e>
              <m:r>
                <m:t>ℝ</m:t>
              </m:r>
            </m:e>
            <m:sup>
              <m:r>
                <m:t>d</m:t>
              </m:r>
            </m:sup>
          </m:sSup>
          <m:r>
            <m:t>∣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r>
            <m:t>x=b}</m:t>
          </m:r>
        </m:oMath>
      </m:oMathPara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является линейным подпространством тогда и только тогда, когда свободный член (bias) </w:t>
      </w:r>
      <m:oMath>
        <m:r>
          <m:t>b=0</m:t>
        </m:r>
      </m:oMath>
      <w:r>
        <w:rPr>
          <w:rFonts w:ascii="Times New Roman" w:hAnsi="Times New Roman"/>
          <w:sz w:val="28"/>
        </w:rPr>
        <w:t xml:space="preserve">. При </w:t>
      </w:r>
      <m:oMath>
        <m:r>
          <m:t>b≠0</m:t>
        </m:r>
      </m:oMath>
      <w:r>
        <w:rPr>
          <w:rFonts w:ascii="Times New Roman" w:hAnsi="Times New Roman"/>
          <w:sz w:val="28"/>
        </w:rPr>
        <w:t xml:space="preserve"> нулевой вектор </w:t>
      </w:r>
      <m:oMath>
        <m:r>
          <m:t>0</m:t>
        </m:r>
      </m:oMath>
      <w:r>
        <w:rPr>
          <w:rFonts w:ascii="Times New Roman" w:hAnsi="Times New Roman"/>
          <w:sz w:val="28"/>
        </w:rPr>
        <w:t xml:space="preserve"> не принадлежит </w:t>
      </w:r>
      <m:oMath>
        <m:r>
          <m:t>H</m:t>
        </m:r>
      </m:oMath>
      <w:r>
        <w:rPr>
          <w:rFonts w:ascii="Times New Roman" w:hAnsi="Times New Roman"/>
          <w:sz w:val="28"/>
        </w:rPr>
        <w:t>, и множество представляет собой аффинное подмногообразие (сдвиг подпространства).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2.  </w:t>
      </w:r>
      <w:r>
        <w:rPr>
          <w:rFonts w:ascii="Times New Roman" w:hAnsi="Times New Roman"/>
          <w:b/>
          <w:sz w:val="28"/>
        </w:rPr>
        <w:t>Ступенчатый вид и ранг матрицы:</w:t>
      </w:r>
      <w:r>
        <w:rPr>
          <w:rFonts w:ascii="Times New Roman" w:hAnsi="Times New Roman"/>
          <w:sz w:val="28"/>
        </w:rPr>
        <w:t xml:space="preserve"> Реализован пошаговый алгоритм Гаусса с выбором максимального по модулю ведущего элемента в столбце (Partial Pivoting):</w:t>
      </w:r>
    </w:p>
    <w:p>
      <w:pPr>
        <w:spacing w:before="160" w:after="160"/>
        <w:ind w:firstLine="0"/>
        <w:jc w:val="center"/>
      </w:pPr>
      <m:oMathPara>
        <m:oMath>
          <m:r>
            <m:t>p=</m:t>
          </m:r>
          <m:r>
            <m:rPr>
              <m:sty m:val="p"/>
            </m:rPr>
            <m:t>\arg</m:t>
          </m:r>
          <m:sSub>
            <m:e>
              <m:r>
                <m:t>max</m:t>
              </m:r>
            </m:e>
            <m:sub>
              <m:r>
                <m:t>i≥k</m:t>
              </m:r>
            </m:sub>
          </m:sSub>
          <m:r>
            <m:t>|</m:t>
          </m:r>
          <m:sSub>
            <m:e>
              <m:r>
                <m:t>A</m:t>
              </m:r>
            </m:e>
            <m:sub>
              <m:r>
                <m:t>i,k</m:t>
              </m:r>
            </m:sub>
          </m:sSub>
          <m:r>
            <m:t>|</m:t>
          </m:r>
        </m:oMath>
      </m:oMathPara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>Данный подход минимизирует вычислительную погрешность округления при делении на малые числа, что критично для чисел с плавающей точкой IEEE 754.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3.  </w:t>
      </w:r>
      <w:r>
        <w:rPr>
          <w:rFonts w:ascii="Times New Roman" w:hAnsi="Times New Roman"/>
          <w:b/>
          <w:sz w:val="28"/>
        </w:rPr>
        <w:t>Геометрия векторных норм $L_p$:</w:t>
      </w:r>
      <w:r>
        <w:rPr>
          <w:rFonts w:ascii="Times New Roman" w:hAnsi="Times New Roman"/>
          <w:sz w:val="28"/>
        </w:rPr>
        <w:t xml:space="preserve"> Единичная сфера в пространстве с нормой </w:t>
      </w:r>
      <m:oMath>
        <m:sSub>
          <m:e>
            <m:r>
              <m:t>L</m:t>
            </m:r>
          </m:e>
          <m:sub>
            <m:r>
              <m:t>p</m:t>
            </m:r>
          </m:sub>
        </m:sSub>
      </m:oMath>
      <w:r>
        <w:rPr>
          <w:rFonts w:ascii="Times New Roman" w:hAnsi="Times New Roman"/>
          <w:sz w:val="28"/>
        </w:rPr>
        <w:t xml:space="preserve"> определяется как:</w:t>
      </w:r>
    </w:p>
    <w:p>
      <w:pPr>
        <w:spacing w:before="160" w:after="160"/>
        <w:ind w:firstLine="0"/>
        <w:jc w:val="center"/>
      </w:pPr>
      <m:oMathPara>
        <m:oMath>
          <m:sSub>
            <m:e>
              <m:r>
                <m:t>S</m:t>
              </m:r>
            </m:e>
            <m:sub>
              <m:r>
                <m:t>p</m:t>
              </m:r>
            </m:sub>
          </m:sSub>
          <m:r>
            <m:t>={x∈</m:t>
          </m:r>
          <m:sSup>
            <m:e>
              <m:r>
                <m:t>ℝ</m:t>
              </m:r>
            </m:e>
            <m:sup>
              <m:r>
                <m:t>d</m:t>
              </m:r>
            </m:sup>
          </m:sSup>
          <m:r>
            <m:t>∣‖x</m:t>
          </m:r>
          <m:sSub>
            <m:e>
              <m:r>
                <m:t>‖</m:t>
              </m:r>
            </m:e>
            <m:sub>
              <m:r>
                <m:t>p</m:t>
              </m:r>
            </m:sub>
          </m:sSub>
          <m:r>
            <m:t>=1},‖x</m:t>
          </m:r>
          <m:sSub>
            <m:e>
              <m:r>
                <m:t>‖</m:t>
              </m:r>
            </m:e>
            <m:sub>
              <m:r>
                <m:t>p</m:t>
              </m:r>
            </m:sub>
          </m:sSub>
          <m:r>
            <m:t>=</m:t>
          </m:r>
          <m:sSup>
            <m:e>
              <m:d>
                <m:e>
                  <m:nary>
                    <m:naryPr>
                      <m:chr m:val="∑"/>
                      <m:limLoc m:val="subSup"/>
                      <m:grow m:val="1"/>
                      <m:subHide m:val="off"/>
                      <m:supHide m:val="off"/>
                    </m:naryPr>
                    <m:sub>
                      <m:r>
                        <m:t>i=1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|</m:t>
                      </m:r>
                    </m:e>
                  </m:nary>
                </m:e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|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</m:e>
            <m:sup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sup>
          </m:sSup>
        </m:oMath>
      </m:oMathPara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Интерактивный стенд модуля демонстрирует непрерывную эволюцию формы единичного шара при изменении </w:t>
      </w:r>
      <m:oMath>
        <m:r>
          <m:t>p∈[0.5,∞]</m:t>
        </m:r>
      </m:oMath>
      <w:r>
        <w:rPr>
          <w:rFonts w:ascii="Times New Roman" w:hAnsi="Times New Roman"/>
          <w:sz w:val="28"/>
        </w:rPr>
        <w:t>: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 xml:space="preserve">При </w:t>
      </w:r>
      <m:oMath>
        <m:r>
          <m:t>p=1</m:t>
        </m:r>
      </m:oMath>
      <w:r>
        <w:rPr>
          <w:rFonts w:ascii="Times New Roman" w:hAnsi="Times New Roman"/>
          <w:sz w:val="28"/>
        </w:rPr>
        <w:t xml:space="preserve"> (норма Манхэттена) шар представляет собой гиперромб (октаэдр в 3D) с острыми вершинами на координатных осях;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 xml:space="preserve">При </w:t>
      </w:r>
      <m:oMath>
        <m:r>
          <m:t>p=2</m:t>
        </m:r>
      </m:oMath>
      <w:r>
        <w:rPr>
          <w:rFonts w:ascii="Times New Roman" w:hAnsi="Times New Roman"/>
          <w:sz w:val="28"/>
        </w:rPr>
        <w:t xml:space="preserve"> — евклидов шар (сфера);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 xml:space="preserve">При </w:t>
      </w:r>
      <m:oMath>
        <m:r>
          <m:t>p=∞</m:t>
        </m:r>
      </m:oMath>
      <w:r>
        <w:rPr>
          <w:rFonts w:ascii="Times New Roman" w:hAnsi="Times New Roman"/>
          <w:sz w:val="28"/>
        </w:rPr>
        <w:t xml:space="preserve"> (норма Чебышева) — гиперкуб с гранями, параллельными осям координат;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 xml:space="preserve">При </w:t>
      </w:r>
      <m:oMath>
        <m:r>
          <m:t>p&lt;1</m:t>
        </m:r>
      </m:oMath>
      <w:r>
        <w:rPr>
          <w:rFonts w:ascii="Times New Roman" w:hAnsi="Times New Roman"/>
          <w:sz w:val="28"/>
        </w:rPr>
        <w:t xml:space="preserve"> (квазинорма) — невыпуклая астроида.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F5F1EB"/>
            <w:tcBorders>
              <w:top w:val="none"/>
              <w:left w:val="single" w:sz="24" w:space="0" w:color="75523C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Consolas" w:hAnsi="Consolas"/>
                <w:color w:val="332211"/>
                <w:sz w:val="19"/>
              </w:rPr>
              <w:t xml:space="preserve">       p = 1 (L1, Lasso)               p = 2 (L2, Ridge)             p = infinity (L_inf)</w:t>
              <w:br/>
              <w:t xml:space="preserve">             ^ y                             ^ y                             ^ y</w:t>
              <w:br/>
              <w:t xml:space="preserve">             |                               |                               |</w:t>
              <w:br/>
              <w:t xml:space="preserve">             /\                             .-.                          +-------+</w:t>
              <w:br/>
              <w:t xml:space="preserve">            /  \                          /     \                        |       |</w:t>
              <w:br/>
              <w:t xml:space="preserve">           /    \                        |       |                       |       |</w:t>
              <w:br/>
              <w:t xml:space="preserve">      &lt;----+----+----&gt; x            &lt;----+-------+----&gt; x           &lt;----+-------+----&gt; x</w:t>
              <w:br/>
              <w:t xml:space="preserve">           \    /                        |       |                       |       |</w:t>
              <w:br/>
              <w:t xml:space="preserve">            \  /                          \     /                        |       |</w:t>
              <w:br/>
              <w:t xml:space="preserve">             \/                             `-'                          +-------+</w:t>
              <w:br/>
              <w:t xml:space="preserve">             |                               |                               |</w:t>
              <w:br/>
              <w:t xml:space="preserve">      Острые вершины!                Гладкая сфера                  Ограничивающий куб</w:t>
              <w:br/>
              <w:t xml:space="preserve">   (Разреживание весов w1=0)        (Сжатие весов w-&gt;0)           (Максимальное отклонение)</w:t>
            </w:r>
          </w:p>
        </w:tc>
      </w:tr>
    </w:tbl>
    <w:p>
      <w:pPr>
        <w:spacing w:before="80" w:after="80"/>
      </w:pPr>
    </w:p>
    <w:p>
      <w:pPr>
        <w:spacing w:before="240" w:after="80"/>
        <w:ind w:firstLine="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551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norms_las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i/>
          <w:sz w:val="22"/>
        </w:rPr>
        <w:t>Рисунок 2.2 — Геометрическая трансформация единичных тел норм L1, L2, L∞ и касание эллипса потерь Lasso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4.  </w:t>
      </w:r>
      <w:r>
        <w:rPr>
          <w:rFonts w:ascii="Times New Roman" w:hAnsi="Times New Roman"/>
          <w:b/>
          <w:sz w:val="28"/>
        </w:rPr>
        <w:t>Геометрическая интерпретация регуляризации Lasso vs Ridge: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>Задача оптимизации с регуляризацией записывается в форме Куна-Таккера:</w:t>
      </w:r>
    </w:p>
    <w:p>
      <w:pPr>
        <w:spacing w:before="160" w:after="160"/>
        <w:ind w:firstLine="0"/>
        <w:jc w:val="center"/>
      </w:pPr>
      <m:oMathPara>
        <m:oMath>
          <m:sSub>
            <m:e>
              <m:r>
                <m:t>min</m:t>
              </m:r>
            </m:e>
            <m:sub>
              <m:r>
                <m:t>w</m:t>
              </m:r>
            </m:sub>
          </m:sSub>
          <m:sSub>
            <m:e>
              <m:r>
                <m:t>L</m:t>
              </m:r>
            </m:e>
            <m:sub>
              <m:r>
                <m:t>MSE</m:t>
              </m:r>
            </m:sub>
          </m:sSub>
          <m:r>
            <m:t>(w)subjectto‖w</m:t>
          </m:r>
          <m:sSub>
            <m:e>
              <m:r>
                <m:t>‖</m:t>
              </m:r>
            </m:e>
            <m:sub>
              <m:r>
                <m:t>p</m:t>
              </m:r>
            </m:sub>
          </m:sSub>
          <m:r>
            <m:t>≤C</m:t>
          </m:r>
        </m:oMath>
      </m:oMathPara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Контуры функции потерь </w:t>
      </w:r>
      <m:oMath>
        <m:sSub>
          <m:e>
            <m:r>
              <m:t>L</m:t>
            </m:r>
          </m:e>
          <m:sub>
            <m:r>
              <m:t>MSE</m:t>
            </m:r>
          </m:sub>
        </m:sSub>
        <m:r>
          <m:t>(w)=</m:t>
        </m:r>
        <m:f>
          <m:fPr>
            <m:type m:val="bar"/>
          </m:fPr>
          <m:num>
            <m:r>
              <m:t>1</m:t>
            </m:r>
          </m:num>
          <m:den>
            <m:r>
              <m:t>2N</m:t>
            </m:r>
          </m:den>
        </m:f>
        <m:r>
          <m:t>‖Xw−y</m:t>
        </m:r>
        <m:sSubSup>
          <m:e>
            <m:r>
              <m:t>‖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/>
          <w:sz w:val="28"/>
        </w:rPr>
        <w:t xml:space="preserve"> представляют собой концентрические эллипсоиды, центром которых является точка классического МНК-решения </w:t>
      </w:r>
      <m:oMath>
        <m:sSub>
          <m:e>
            <m:r>
              <m:t>w</m:t>
            </m:r>
          </m:e>
          <m:sub>
            <m:r>
              <m:t>OLS</m:t>
            </m:r>
          </m:sub>
        </m:sSub>
      </m:oMath>
      <w:r>
        <w:rPr>
          <w:rFonts w:ascii="Times New Roman" w:hAnsi="Times New Roman"/>
          <w:sz w:val="28"/>
        </w:rPr>
        <w:t xml:space="preserve">. Оптимальное регуляризованное решение достигается в точке первого касания эллипса потерь с поверхностью единичного шара нормы </w:t>
      </w:r>
      <m:oMath>
        <m:r>
          <m:t>‖w</m:t>
        </m:r>
        <m:sSub>
          <m:e>
            <m:r>
              <m:t>‖</m:t>
            </m:r>
          </m:e>
          <m:sub>
            <m:r>
              <m:t>p</m:t>
            </m:r>
          </m:sub>
        </m:sSub>
        <m:r>
          <m:t>≤C</m:t>
        </m:r>
      </m:oMath>
      <w:r>
        <w:rPr>
          <w:rFonts w:ascii="Times New Roman" w:hAnsi="Times New Roman"/>
          <w:sz w:val="28"/>
        </w:rPr>
        <w:t>.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Благодаря наличию острых углов у ромба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ascii="Times New Roman" w:hAnsi="Times New Roman"/>
          <w:sz w:val="28"/>
        </w:rPr>
        <w:t xml:space="preserve"> на координатных осях, касание эллипса с высокой вероятностью происходит именно в вершине, где одна или несколько координат точно равны нулю (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t>=0</m:t>
        </m:r>
      </m:oMath>
      <w:r>
        <w:rPr>
          <w:rFonts w:ascii="Times New Roman" w:hAnsi="Times New Roman"/>
          <w:sz w:val="28"/>
        </w:rPr>
        <w:t xml:space="preserve">). В случае гладкой сферы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/>
          <w:sz w:val="28"/>
        </w:rPr>
        <w:t xml:space="preserve"> вероятность касания точно на оси имеет меру ноль, поэтому веса лишь асимптотически приближаются к нулю, но никогда не обнуляются точно.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2.2.2. Модуль 2: Системы, операторы, процесс Грама-Шмидта и МНК-проекции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1.  </w:t>
      </w:r>
      <w:r>
        <w:rPr>
          <w:rFonts w:ascii="Times New Roman" w:hAnsi="Times New Roman"/>
          <w:b/>
          <w:sz w:val="28"/>
        </w:rPr>
        <w:t>Расщепление общего решения СЛАУ: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Для произвольной совместной системы </w:t>
      </w:r>
      <m:oMath>
        <m:r>
          <m:t>Ax=b</m:t>
        </m:r>
      </m:oMath>
      <w:r>
        <w:rPr>
          <w:rFonts w:ascii="Times New Roman" w:hAnsi="Times New Roman"/>
          <w:sz w:val="28"/>
        </w:rPr>
        <w:t xml:space="preserve"> общее решение представляется в виде прямой суммы частного решения неоднородной системы </w:t>
      </w:r>
      <m:oMath>
        <m:sSub>
          <m:e>
            <m:r>
              <m:t>x</m:t>
            </m:r>
          </m:e>
          <m:sub>
            <m:r>
              <m:t>part</m:t>
            </m:r>
          </m:sub>
        </m:sSub>
      </m:oMath>
      <w:r>
        <w:rPr>
          <w:rFonts w:ascii="Times New Roman" w:hAnsi="Times New Roman"/>
          <w:sz w:val="28"/>
        </w:rPr>
        <w:t xml:space="preserve"> и ядра оператора </w:t>
      </w:r>
      <m:oMath>
        <m:r>
          <m:t>Ker(A)</m:t>
        </m:r>
      </m:oMath>
      <w:r>
        <w:rPr>
          <w:rFonts w:ascii="Times New Roman" w:hAnsi="Times New Roman"/>
          <w:sz w:val="28"/>
        </w:rPr>
        <w:t>:</w:t>
      </w:r>
    </w:p>
    <w:p>
      <w:pPr>
        <w:spacing w:before="160" w:after="160"/>
        <w:ind w:firstLine="0"/>
        <w:jc w:val="center"/>
      </w:pPr>
      <m:oMathPara>
        <m:oMath>
          <m:r>
            <m:t>x=</m:t>
          </m:r>
          <m:sSub>
            <m:e>
              <m:r>
                <m:t>x</m:t>
              </m:r>
            </m:e>
            <m:sub>
              <m:r>
                <m:t>part</m:t>
              </m:r>
            </m:sub>
          </m:sSub>
          <m: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t>+…+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v</m:t>
              </m:r>
            </m:e>
            <m:sub>
              <m:r>
                <m:t>k</m:t>
              </m:r>
            </m:sub>
          </m:sSub>
          <m:r>
            <m:t>,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t>∈Ker(A)</m:t>
          </m:r>
        </m:oMath>
      </m:oMathPara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В разработанном 3D-манипуляторе пользователь управляет коэффициентами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∈[−2,2]</m:t>
        </m:r>
      </m:oMath>
      <w:r>
        <w:rPr>
          <w:rFonts w:ascii="Times New Roman" w:hAnsi="Times New Roman"/>
          <w:sz w:val="28"/>
        </w:rPr>
        <w:t xml:space="preserve">, визуально наблюдая, как вектор </w:t>
      </w:r>
      <m:oMath>
        <m:r>
          <m:t>x</m:t>
        </m:r>
      </m:oMath>
      <w:r>
        <w:rPr>
          <w:rFonts w:ascii="Times New Roman" w:hAnsi="Times New Roman"/>
          <w:sz w:val="28"/>
        </w:rPr>
        <w:t xml:space="preserve"> скользит по аффинной плоскости решений, параллельной подпространству ядра, сохраняя тождество </w:t>
      </w:r>
      <m:oMath>
        <m:r>
          <m:t>Ax≡b</m:t>
        </m:r>
      </m:oMath>
      <w:r>
        <w:rPr>
          <w:rFonts w:ascii="Times New Roman" w:hAnsi="Times New Roman"/>
          <w:sz w:val="28"/>
        </w:rPr>
        <w:t>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2.  </w:t>
      </w:r>
      <w:r>
        <w:rPr>
          <w:rFonts w:ascii="Times New Roman" w:hAnsi="Times New Roman"/>
          <w:b/>
          <w:sz w:val="28"/>
        </w:rPr>
        <w:t>Теорема о ранге и дефекте оператора:</w:t>
      </w:r>
    </w:p>
    <w:p>
      <w:pPr>
        <w:spacing w:before="160" w:after="160"/>
        <w:ind w:firstLine="0"/>
        <w:jc w:val="center"/>
      </w:pPr>
      <m:oMathPara>
        <m:oMath>
          <m:r>
            <m:rPr>
              <m:sty m:val="p"/>
            </m:rPr>
            <m:t>dim</m:t>
          </m:r>
          <m:r>
            <m:t>V=</m:t>
          </m:r>
          <m:r>
            <m:rPr>
              <m:sty m:val="p"/>
            </m:rPr>
            <m:t>dim</m:t>
          </m:r>
          <m:r>
            <m:t>Ker(T)+</m:t>
          </m:r>
          <m:r>
            <m:rPr>
              <m:sty m:val="p"/>
            </m:rPr>
            <m:t>dim</m:t>
          </m:r>
          <m:r>
            <m:t>Im(T)⟺n=nullity(T)+rank(T)</m:t>
          </m:r>
        </m:oMath>
      </m:oMathPara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Стенд демонстрирует двухоконную проекцию: в левом окне отображается пространство прообразов </w:t>
      </w:r>
      <m:oMath>
        <m:r>
          <m:t>V</m:t>
        </m:r>
      </m:oMath>
      <w:r>
        <w:rPr>
          <w:rFonts w:ascii="Times New Roman" w:hAnsi="Times New Roman"/>
          <w:sz w:val="28"/>
        </w:rPr>
        <w:t xml:space="preserve">, в правом — пространство образов </w:t>
      </w:r>
      <m:oMath>
        <m:r>
          <m:t>W</m:t>
        </m:r>
      </m:oMath>
      <w:r>
        <w:rPr>
          <w:rFonts w:ascii="Times New Roman" w:hAnsi="Times New Roman"/>
          <w:sz w:val="28"/>
        </w:rPr>
        <w:t>. При уменьшении ранга оператора векторы, попадающие в подпространство ядра, сжимаются в нулевую точку правого окна.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3.  </w:t>
      </w:r>
      <w:r>
        <w:rPr>
          <w:rFonts w:ascii="Times New Roman" w:hAnsi="Times New Roman"/>
          <w:b/>
          <w:sz w:val="28"/>
        </w:rPr>
        <w:t>Процесс Грама-Шмидта и QR-разложение: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Для системы линейно независимых векторов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,…,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rPr>
          <w:rFonts w:ascii="Times New Roman" w:hAnsi="Times New Roman"/>
          <w:sz w:val="28"/>
        </w:rPr>
        <w:t xml:space="preserve"> алгоритм последовательно строит ортогональный базис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,…,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rPr>
          <w:rFonts w:ascii="Times New Roman" w:hAnsi="Times New Roman"/>
          <w:sz w:val="28"/>
        </w:rPr>
        <w:t xml:space="preserve"> и ортонормированный базис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t>,…,</m:t>
        </m:r>
        <m:sSub>
          <m:e>
            <m:r>
              <m:t>q</m:t>
            </m:r>
          </m:e>
          <m:sub>
            <m:r>
              <m:t>n</m:t>
            </m:r>
          </m:sub>
        </m:sSub>
      </m:oMath>
      <w:r>
        <w:rPr>
          <w:rFonts w:ascii="Times New Roman" w:hAnsi="Times New Roman"/>
          <w:sz w:val="28"/>
        </w:rPr>
        <w:t>:</w:t>
      </w:r>
    </w:p>
    <w:p>
      <w:pPr>
        <w:spacing w:before="160" w:after="160"/>
        <w:ind w:firstLine="0"/>
        <w:jc w:val="center"/>
      </w:pPr>
      <m:oMathPara>
        <m:oMath>
          <m:sSub>
            <m:e>
              <m:r>
                <m:t>u</m:t>
              </m:r>
            </m:e>
            <m:sub>
              <m:r>
                <m:t>k</m:t>
              </m:r>
            </m:sub>
          </m:sSub>
          <m: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−</m:t>
          </m:r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j=1</m:t>
              </m:r>
            </m:sub>
            <m:sup>
              <m:r>
                <m:t>k−1</m:t>
              </m:r>
            </m:sup>
            <m:e>
              <m:r>
                <m:t>pro</m:t>
              </m:r>
            </m:e>
          </m:nary>
          <m:sSub>
            <m:e>
              <m:r>
                <m:t>j</m:t>
              </m:r>
            </m:e>
            <m:sub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</m:sub>
          </m:sSub>
          <m: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)=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−</m:t>
          </m:r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j=1</m:t>
              </m:r>
            </m:sub>
            <m:sup>
              <m:r>
                <m:t>k−1</m:t>
              </m:r>
            </m:sup>
            <m:e>
              <m:f>
                <m:fPr>
                  <m:type m:val="bar"/>
                </m:fPr>
                <m:num>
                  <m:r>
                    <m:t>⟨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,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t>⟩</m:t>
                  </m:r>
                </m:num>
                <m:den>
                  <m:sSup>
                    <m:e>
                      <m:d>
                        <m:dPr>
                          <m:begChr m:val="‖"/>
                          <m:sepChr m:val=""/>
                          <m:endChr m:val="‖"/>
                        </m:dP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t>,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num>
            <m:den>
              <m:d>
                <m:dPr>
                  <m:begChr m:val="‖"/>
                  <m:sepChr m:val=""/>
                  <m:endChr m:val="‖"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den>
          </m:f>
        </m:oMath>
      </m:oMathPara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Матрица </w:t>
      </w:r>
      <m:oMath>
        <m:r>
          <m:t>A</m:t>
        </m:r>
      </m:oMath>
      <w:r>
        <w:rPr>
          <w:rFonts w:ascii="Times New Roman" w:hAnsi="Times New Roman"/>
          <w:sz w:val="28"/>
        </w:rPr>
        <w:t xml:space="preserve"> представляется в виде </w:t>
      </w:r>
      <m:oMath>
        <m:r>
          <m:t>A=QR</m:t>
        </m:r>
      </m:oMath>
      <w:r>
        <w:rPr>
          <w:rFonts w:ascii="Times New Roman" w:hAnsi="Times New Roman"/>
          <w:sz w:val="28"/>
        </w:rPr>
        <w:t xml:space="preserve">, где </w:t>
      </w:r>
      <m:oMath>
        <m:r>
          <m:t>Q</m:t>
        </m:r>
      </m:oMath>
      <w:r>
        <w:rPr>
          <w:rFonts w:ascii="Times New Roman" w:hAnsi="Times New Roman"/>
          <w:sz w:val="28"/>
        </w:rPr>
        <w:t xml:space="preserve"> — матрица с ортонормированными столбцами (</w:t>
      </w:r>
      <m:oMath>
        <m:sSup>
          <m:e>
            <m:r>
              <m:t>Q</m:t>
            </m:r>
          </m:e>
          <m:sup>
            <m:r>
              <m:t>T</m:t>
            </m:r>
          </m:sup>
        </m:sSup>
        <m:r>
          <m:t>Q=I</m:t>
        </m:r>
      </m:oMath>
      <w:r>
        <w:rPr>
          <w:rFonts w:ascii="Times New Roman" w:hAnsi="Times New Roman"/>
          <w:sz w:val="28"/>
        </w:rPr>
        <w:t xml:space="preserve">), а </w:t>
      </w:r>
      <m:oMath>
        <m:r>
          <m:t>R</m:t>
        </m:r>
      </m:oMath>
      <w:r>
        <w:rPr>
          <w:rFonts w:ascii="Times New Roman" w:hAnsi="Times New Roman"/>
          <w:sz w:val="28"/>
        </w:rPr>
        <w:t xml:space="preserve"> — верхнетреугольная матрица коэффициентов проекций.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4.  </w:t>
      </w:r>
      <w:r>
        <w:rPr>
          <w:rFonts w:ascii="Times New Roman" w:hAnsi="Times New Roman"/>
          <w:b/>
          <w:sz w:val="28"/>
        </w:rPr>
        <w:t>Теорема о наилучшем приближении и ортогональная проекция МНК: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В переопределенной системе </w:t>
      </w:r>
      <m:oMath>
        <m:r>
          <m:t>Xw=y</m:t>
        </m:r>
      </m:oMath>
      <w:r>
        <w:rPr>
          <w:rFonts w:ascii="Times New Roman" w:hAnsi="Times New Roman"/>
          <w:sz w:val="28"/>
        </w:rPr>
        <w:t xml:space="preserve"> (</w:t>
      </w:r>
      <m:oMath>
        <m:r>
          <m:t>N&gt;d</m:t>
        </m:r>
      </m:oMath>
      <w:r>
        <w:rPr>
          <w:rFonts w:ascii="Times New Roman" w:hAnsi="Times New Roman"/>
          <w:sz w:val="28"/>
        </w:rPr>
        <w:t xml:space="preserve">) вектор </w:t>
      </w:r>
      <m:oMath>
        <m:r>
          <m:t>y</m:t>
        </m:r>
      </m:oMath>
      <w:r>
        <w:rPr>
          <w:rFonts w:ascii="Times New Roman" w:hAnsi="Times New Roman"/>
          <w:sz w:val="28"/>
        </w:rPr>
        <w:t xml:space="preserve"> не лежит в пространстве столбцов </w:t>
      </w:r>
      <m:oMath>
        <m:r>
          <m:t>Col</m:t>
        </m:r>
        <m:r>
          <m:t>(X)</m:t>
        </m:r>
      </m:oMath>
      <w:r>
        <w:rPr>
          <w:rFonts w:ascii="Times New Roman" w:hAnsi="Times New Roman"/>
          <w:sz w:val="28"/>
        </w:rPr>
        <w:t xml:space="preserve">. Задача наименьших квадратов заключается в нахождении вектора </w:t>
      </w:r>
      <m:oMath>
        <m:acc>
          <m:accPr>
            <m:chr m:val="̂"/>
          </m:accPr>
          <m:e>
            <m:r>
              <m:t>y</m:t>
            </m:r>
          </m:e>
        </m:acc>
        <m:r>
          <m:t>∈</m:t>
        </m:r>
        <m:r>
          <m:t>Col</m:t>
        </m:r>
        <m:r>
          <m:t>(X)</m:t>
        </m:r>
      </m:oMath>
      <w:r>
        <w:rPr>
          <w:rFonts w:ascii="Times New Roman" w:hAnsi="Times New Roman"/>
          <w:sz w:val="28"/>
        </w:rPr>
        <w:t xml:space="preserve">, минимизирующего норму вектора ошибки </w:t>
      </w:r>
      <m:oMath>
        <m:sSub>
          <m:e>
            <m:d>
              <m:dPr>
                <m:begChr m:val="‖"/>
                <m:sepChr m:val=""/>
                <m:endChr m:val="‖"/>
              </m:dPr>
              <m:e>
                <m:sSub>
                  <m:e>
                    <m:r>
                      <m:t>‖</m:t>
                    </m:r>
                  </m:e>
                  <m:sub>
                    <m:r>
                      <m:t>2</m:t>
                    </m:r>
                  </m:sub>
                </m:sSub>
                <m:r>
                  <m:t>=‖y−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t>2</m:t>
            </m:r>
          </m:sub>
        </m:sSub>
      </m:oMath>
      <w:r>
        <w:rPr>
          <w:rFonts w:ascii="Times New Roman" w:hAnsi="Times New Roman"/>
          <w:sz w:val="28"/>
        </w:rPr>
        <w:t>.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По теореме о проекции вектор ошибки обязан быть ортогонален подпространству </w:t>
      </w:r>
      <m:oMath>
        <m:r>
          <m:t>Col</m:t>
        </m:r>
        <m:r>
          <m:t>(X)</m:t>
        </m:r>
      </m:oMath>
      <w:r>
        <w:rPr>
          <w:rFonts w:ascii="Times New Roman" w:hAnsi="Times New Roman"/>
          <w:sz w:val="28"/>
        </w:rPr>
        <w:t>:</w:t>
      </w:r>
    </w:p>
    <w:p>
      <w:pPr>
        <w:spacing w:before="160" w:after="160"/>
        <w:ind w:firstLine="0"/>
        <w:jc w:val="center"/>
      </w:pPr>
      <m:oMathPara>
        <m:oMath>
          <m:r>
            <m:t>⟨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t>,y−Xw⟩=0∀j⟺</m:t>
          </m:r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(y−Xw)=0⟺</m:t>
          </m:r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Xw=</m:t>
          </m:r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y</m:t>
          </m:r>
        </m:oMath>
      </m:oMathPara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>Оператор ортогонального проектирования имеет вид:</w:t>
      </w:r>
    </w:p>
    <w:p>
      <w:pPr>
        <w:spacing w:before="160" w:after="160"/>
        <w:ind w:firstLine="0"/>
        <w:jc w:val="center"/>
      </w:pPr>
      <m:oMathPara>
        <m:oMath>
          <m:r>
            <m:t>P=X(</m:t>
          </m:r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X</m:t>
          </m:r>
          <m:sSup>
            <m:e>
              <m:r>
                <m:t>)</m:t>
              </m:r>
            </m:e>
            <m:sup>
              <m:r>
                <m:t>−1</m:t>
              </m:r>
            </m:sup>
          </m:sSup>
          <m:sSup>
            <m:e>
              <m:r>
                <m:t>X</m:t>
              </m:r>
            </m:e>
            <m:sup>
              <m:r>
                <m:t>T</m:t>
              </m:r>
            </m:sup>
          </m:sSup>
        </m:oMath>
      </m:oMathPara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Свойства проектора: идемпотентность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t>=P</m:t>
        </m:r>
      </m:oMath>
      <w:r>
        <w:rPr>
          <w:rFonts w:ascii="Times New Roman" w:hAnsi="Times New Roman"/>
          <w:sz w:val="28"/>
        </w:rPr>
        <w:t xml:space="preserve"> и самосопряженность </w:t>
      </w:r>
      <m:oMath>
        <m:sSup>
          <m:e>
            <m:r>
              <m:t>P</m:t>
            </m:r>
          </m:e>
          <m:sup>
            <m:r>
              <m:t>T</m:t>
            </m:r>
          </m:sup>
        </m:sSup>
        <m:r>
          <m:t>=P</m:t>
        </m:r>
      </m:oMath>
      <w:r>
        <w:rPr>
          <w:rFonts w:ascii="Times New Roman" w:hAnsi="Times New Roman"/>
          <w:sz w:val="28"/>
        </w:rPr>
        <w:t>.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Стенд проверяет теорему Пифагора с точностью до </w:t>
      </w:r>
      <m:oMath>
        <m:sSup>
          <m:e>
            <m:r>
              <m:t>10</m:t>
            </m:r>
          </m:e>
          <m:sup>
            <m:r>
              <m:t>−14</m:t>
            </m:r>
          </m:sup>
        </m:sSup>
      </m:oMath>
      <w:r>
        <w:rPr>
          <w:rFonts w:ascii="Times New Roman" w:hAnsi="Times New Roman"/>
          <w:sz w:val="28"/>
        </w:rPr>
        <w:t>:</w:t>
      </w:r>
    </w:p>
    <w:p>
      <w:pPr>
        <w:spacing w:before="160" w:after="160"/>
        <w:ind w:firstLine="0"/>
        <w:jc w:val="center"/>
      </w:pPr>
      <m:oMathPara>
        <m:oMath>
          <m:sSubSup>
            <m:e>
              <m:d>
                <m:dPr>
                  <m:begChr m:val="‖"/>
                  <m:sepChr m:val=""/>
                  <m:endChr m:val="‖"/>
                </m:dPr>
                <m:e>
                  <m:sSubSup>
                    <m:e>
                      <m:r>
                        <m:t>‖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=‖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sSubSup>
                    <m:e>
                      <m:r>
                        <m:t>‖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+‖e</m:t>
                  </m:r>
                </m:e>
              </m:d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5.  </w:t>
      </w:r>
      <w:r>
        <w:rPr>
          <w:rFonts w:ascii="Times New Roman" w:hAnsi="Times New Roman"/>
          <w:b/>
          <w:sz w:val="28"/>
        </w:rPr>
        <w:t>Вычислительная обусловленность $\kappa(A)$ и стабильность QR-решателя: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>Число обусловленности матрицы определяется как:</w:t>
      </w:r>
    </w:p>
    <w:p>
      <w:pPr>
        <w:spacing w:before="160" w:after="160"/>
        <w:ind w:firstLine="0"/>
        <w:jc w:val="center"/>
      </w:pPr>
      <m:oMathPara>
        <m:oMath>
          <m:r>
            <m:t>κ(A)=‖A‖·‖</m:t>
          </m:r>
          <m:sSup>
            <m:e>
              <m:r>
                <m:t>A</m:t>
              </m:r>
            </m:e>
            <m:sup>
              <m:r>
                <m:t>−1</m:t>
              </m:r>
            </m:sup>
          </m:sSup>
          <m:r>
            <m:t>‖=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t>max</m:t>
                  </m:r>
                </m:sub>
              </m:sSub>
              <m:r>
                <m:t>(A)</m:t>
              </m:r>
            </m:num>
            <m:den>
              <m:sSub>
                <m:e>
                  <m:r>
                    <m:t>σ</m:t>
                  </m:r>
                </m:e>
                <m:sub>
                  <m:r>
                    <m:t>min</m:t>
                  </m:r>
                </m:sub>
              </m:sSub>
              <m:r>
                <m:t>(A)</m:t>
              </m:r>
            </m:den>
          </m:f>
        </m:oMath>
      </m:oMathPara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При решении МНК через нормальные уравнения матрица Грама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</m:oMath>
      <w:r>
        <w:rPr>
          <w:rFonts w:ascii="Times New Roman" w:hAnsi="Times New Roman"/>
          <w:sz w:val="28"/>
        </w:rPr>
        <w:t xml:space="preserve"> имеет число обусловленности:</w:t>
      </w:r>
    </w:p>
    <w:p>
      <w:pPr>
        <w:spacing w:before="160" w:after="160"/>
        <w:ind w:firstLine="0"/>
        <w:jc w:val="center"/>
      </w:pPr>
      <m:oMathPara>
        <m:oMath>
          <m:r>
            <m:t>κ(</m:t>
          </m:r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X)=(κ(X)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Если матрица признаков </w:t>
      </w:r>
      <m:oMath>
        <m:r>
          <m:t>X</m:t>
        </m:r>
      </m:oMath>
      <w:r>
        <w:rPr>
          <w:rFonts w:ascii="Times New Roman" w:hAnsi="Times New Roman"/>
          <w:sz w:val="28"/>
        </w:rPr>
        <w:t xml:space="preserve"> умеренно плохо обусловлена (</w:t>
      </w:r>
      <m:oMath>
        <m:r>
          <m:t>κ(X)≈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rPr>
          <w:rFonts w:ascii="Times New Roman" w:hAnsi="Times New Roman"/>
          <w:sz w:val="28"/>
        </w:rPr>
        <w:t xml:space="preserve">), то матрица Грама получает обусловленность </w:t>
      </w:r>
      <m:oMath>
        <m:r>
          <m:t>κ(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X)≈</m:t>
        </m:r>
        <m:sSup>
          <m:e>
            <m:r>
              <m:t>10</m:t>
            </m:r>
          </m:e>
          <m:sup>
            <m:r>
              <m:t>16</m:t>
            </m:r>
          </m:sup>
        </m:sSup>
      </m:oMath>
      <w:r>
        <w:rPr>
          <w:rFonts w:ascii="Times New Roman" w:hAnsi="Times New Roman"/>
          <w:sz w:val="28"/>
        </w:rPr>
        <w:t>, что приводит к полной катастрофической потере точности (все 53 бита мантиссы float64 зашумляются).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>Решение через QR-разложение (</w:t>
      </w:r>
      <m:oMath>
        <m:r>
          <m:t>X=QR</m:t>
        </m:r>
      </m:oMath>
      <w:r>
        <w:rPr>
          <w:rFonts w:ascii="Times New Roman" w:hAnsi="Times New Roman"/>
          <w:sz w:val="28"/>
        </w:rPr>
        <w:t>):</w:t>
      </w:r>
    </w:p>
    <w:p>
      <w:pPr>
        <w:spacing w:before="160" w:after="160"/>
        <w:ind w:firstLine="0"/>
        <w:jc w:val="center"/>
      </w:pPr>
      <m:oMathPara>
        <m:oMath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Xw=</m:t>
          </m:r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y⟹</m:t>
          </m:r>
          <m:sSup>
            <m:e>
              <m:r>
                <m:t>R</m:t>
              </m:r>
            </m:e>
            <m:sup>
              <m:r>
                <m:t>T</m:t>
              </m:r>
            </m:sup>
          </m:sSup>
          <m:sSup>
            <m:e>
              <m:r>
                <m:t>Q</m:t>
              </m:r>
            </m:e>
            <m:sup>
              <m:r>
                <m:t>T</m:t>
              </m:r>
            </m:sup>
          </m:sSup>
          <m:r>
            <m:t>QRw=</m:t>
          </m:r>
          <m:sSup>
            <m:e>
              <m:r>
                <m:t>R</m:t>
              </m:r>
            </m:e>
            <m:sup>
              <m:r>
                <m:t>T</m:t>
              </m:r>
            </m:sup>
          </m:sSup>
          <m:sSup>
            <m:e>
              <m:r>
                <m:t>Q</m:t>
              </m:r>
            </m:e>
            <m:sup>
              <m:r>
                <m:t>T</m:t>
              </m:r>
            </m:sup>
          </m:sSup>
          <m:r>
            <m:t>y⟹</m:t>
          </m:r>
          <m:sSup>
            <m:e>
              <m:r>
                <m:t>R</m:t>
              </m:r>
            </m:e>
            <m:sup>
              <m:r>
                <m:t>T</m:t>
              </m:r>
            </m:sup>
          </m:sSup>
          <m:r>
            <m:t>Rw=</m:t>
          </m:r>
          <m:sSup>
            <m:e>
              <m:r>
                <m:t>R</m:t>
              </m:r>
            </m:e>
            <m:sup>
              <m:r>
                <m:t>T</m:t>
              </m:r>
            </m:sup>
          </m:sSup>
          <m:sSup>
            <m:e>
              <m:r>
                <m:t>Q</m:t>
              </m:r>
            </m:e>
            <m:sup>
              <m:r>
                <m:t>T</m:t>
              </m:r>
            </m:sup>
          </m:sSup>
          <m:r>
            <m:t>y⟹Rw=</m:t>
          </m:r>
          <m:sSup>
            <m:e>
              <m:r>
                <m:t>Q</m:t>
              </m:r>
            </m:e>
            <m:sup>
              <m:r>
                <m:t>T</m:t>
              </m:r>
            </m:sup>
          </m:sSup>
          <m:r>
            <m:t>y</m:t>
          </m:r>
        </m:oMath>
      </m:oMathPara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позволяет избежать возведения обусловленности в квадрат, так как </w:t>
      </w:r>
      <m:oMath>
        <m:r>
          <m:t>κ(R)=κ(X)</m:t>
        </m:r>
      </m:oMath>
      <w:r>
        <w:rPr>
          <w:rFonts w:ascii="Times New Roman" w:hAnsi="Times New Roman"/>
          <w:sz w:val="28"/>
        </w:rPr>
        <w:t>.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2.2.3. Модуль 3: Спектральная теория, SVD, теорема Эккарта-Юнга и тензоры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1.  </w:t>
      </w:r>
      <w:r>
        <w:rPr>
          <w:rFonts w:ascii="Times New Roman" w:hAnsi="Times New Roman"/>
          <w:b/>
          <w:sz w:val="28"/>
        </w:rPr>
        <w:t>Спектральная теорема для симметричных матриц: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Любая вещественная симметричная матрица </w:t>
      </w:r>
      <m:oMath>
        <m:r>
          <m:t>A=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>
          <w:rFonts w:ascii="Times New Roman" w:hAnsi="Times New Roman"/>
          <w:sz w:val="28"/>
        </w:rPr>
        <w:t xml:space="preserve"> диагонализуется в ортонормированном базисе своих собственных векторов:</w:t>
      </w:r>
    </w:p>
    <w:p>
      <w:pPr>
        <w:spacing w:before="160" w:after="160"/>
        <w:ind w:firstLine="0"/>
        <w:jc w:val="center"/>
      </w:pPr>
      <m:oMathPara>
        <m:oMath>
          <m:r>
            <m:t>A=QΛ</m:t>
          </m:r>
          <m:sSup>
            <m:e>
              <m:r>
                <m:t>Q</m:t>
              </m:r>
            </m:e>
            <m:sup>
              <m:r>
                <m:t>T</m:t>
              </m:r>
            </m:sup>
          </m:sSup>
          <m:r>
            <m:t>=</m:t>
          </m:r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q</m:t>
              </m:r>
            </m:e>
            <m:sub>
              <m:r>
                <m:t>i</m:t>
              </m:r>
            </m:sub>
          </m:sSub>
          <m:sSubSup>
            <m:e>
              <m:r>
                <m:t>q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r>
            <m:t>,</m:t>
          </m:r>
          <m:sSup>
            <m:e>
              <m:r>
                <m:t>Q</m:t>
              </m:r>
            </m:e>
            <m:sup>
              <m:r>
                <m:t>T</m:t>
              </m:r>
            </m:sup>
          </m:sSup>
          <m:r>
            <m:t>Q=I</m:t>
          </m:r>
        </m:oMath>
      </m:oMathPara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Геометрически оператор </w:t>
      </w:r>
      <m:oMath>
        <m:r>
          <m:t>A</m:t>
        </m:r>
      </m:oMath>
      <w:r>
        <w:rPr>
          <w:rFonts w:ascii="Times New Roman" w:hAnsi="Times New Roman"/>
          <w:sz w:val="28"/>
        </w:rPr>
        <w:t xml:space="preserve"> растягивает пространство вдоль взаимно перпендикулярных собственных осей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rFonts w:ascii="Times New Roman" w:hAnsi="Times New Roman"/>
          <w:sz w:val="28"/>
        </w:rPr>
        <w:t xml:space="preserve"> с коэффициентами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rPr>
          <w:rFonts w:ascii="Times New Roman" w:hAnsi="Times New Roman"/>
          <w:sz w:val="28"/>
        </w:rPr>
        <w:t>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2.  </w:t>
      </w:r>
      <w:r>
        <w:rPr>
          <w:rFonts w:ascii="Times New Roman" w:hAnsi="Times New Roman"/>
          <w:b/>
          <w:sz w:val="28"/>
        </w:rPr>
        <w:t>Сингулярное разложение (Singular Value Decomposition, SVD):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Произвольная прямоугольная матрица </w:t>
      </w:r>
      <m:oMath>
        <m:r>
          <m:t>A∈</m:t>
        </m:r>
        <m:sSup>
          <m:e>
            <m:r>
              <m:t>ℝ</m:t>
            </m:r>
          </m:e>
          <m:sup>
            <m:r>
              <m:t>m×n</m:t>
            </m:r>
          </m:sup>
        </m:sSup>
      </m:oMath>
      <w:r>
        <w:rPr>
          <w:rFonts w:ascii="Times New Roman" w:hAnsi="Times New Roman"/>
          <w:sz w:val="28"/>
        </w:rPr>
        <w:t xml:space="preserve"> ранга </w:t>
      </w:r>
      <m:oMath>
        <m:r>
          <m:t>r</m:t>
        </m:r>
      </m:oMath>
      <w:r>
        <w:rPr>
          <w:rFonts w:ascii="Times New Roman" w:hAnsi="Times New Roman"/>
          <w:sz w:val="28"/>
        </w:rPr>
        <w:t xml:space="preserve"> факторизуется в виде:</w:t>
      </w:r>
    </w:p>
    <w:p>
      <w:pPr>
        <w:spacing w:before="160" w:after="160"/>
        <w:ind w:firstLine="0"/>
        <w:jc w:val="center"/>
      </w:pPr>
      <m:oMathPara>
        <m:oMath>
          <m:r>
            <m:t>A=UΣ</m:t>
          </m:r>
          <m:sSup>
            <m:e>
              <m:r>
                <m:t>V</m:t>
              </m:r>
            </m:e>
            <m:sup>
              <m:r>
                <m:t>T</m:t>
              </m:r>
            </m:sup>
          </m:sSup>
          <m:r>
            <m:t>=</m:t>
          </m:r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i=1</m:t>
              </m:r>
            </m:sub>
            <m:sup>
              <m:r>
                <m:t>r</m:t>
              </m:r>
            </m:sup>
            <m:e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u</m:t>
              </m:r>
            </m:e>
            <m:sub>
              <m:r>
                <m:t>i</m:t>
              </m:r>
            </m:sub>
          </m:sSub>
          <m:sSubSup>
            <m:e>
              <m:r>
                <m:t>v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</m:oMath>
      </m:oMathPara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>где: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m:oMath>
        <m:r>
          <m:t>V∈</m:t>
        </m:r>
        <m:sSup>
          <m:e>
            <m:r>
              <m:t>ℝ</m:t>
            </m:r>
          </m:e>
          <m:sup>
            <m:r>
              <m:t>n×n</m:t>
            </m:r>
          </m:sup>
        </m:sSup>
      </m:oMath>
      <w:r>
        <w:rPr>
          <w:rFonts w:ascii="Times New Roman" w:hAnsi="Times New Roman"/>
          <w:sz w:val="28"/>
        </w:rPr>
        <w:t xml:space="preserve"> — ортогональная матрица правых сингулярных векторов (собственные векторы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</m:oMath>
      <w:r>
        <w:rPr>
          <w:rFonts w:ascii="Times New Roman" w:hAnsi="Times New Roman"/>
          <w:sz w:val="28"/>
        </w:rPr>
        <w:t>);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m:oMath>
        <m:r>
          <m:t>Σ∈</m:t>
        </m:r>
        <m:sSup>
          <m:e>
            <m:r>
              <m:t>ℝ</m:t>
            </m:r>
          </m:e>
          <m:sup>
            <m:r>
              <m:t>m×n</m:t>
            </m:r>
          </m:sup>
        </m:sSup>
      </m:oMath>
      <w:r>
        <w:rPr>
          <w:rFonts w:ascii="Times New Roman" w:hAnsi="Times New Roman"/>
          <w:sz w:val="28"/>
        </w:rPr>
        <w:t xml:space="preserve"> — диагональная матрица сингулярных чисел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t>≥…≥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t>&gt;0</m:t>
        </m:r>
      </m:oMath>
      <w:r>
        <w:rPr>
          <w:rFonts w:ascii="Times New Roman" w:hAnsi="Times New Roman"/>
          <w:sz w:val="28"/>
        </w:rPr>
        <w:t xml:space="preserve">, где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(</m:t>
            </m:r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  <m:r>
              <m:t>A)</m:t>
            </m:r>
          </m:e>
        </m:rad>
      </m:oMath>
      <w:r>
        <w:rPr>
          <w:rFonts w:ascii="Times New Roman" w:hAnsi="Times New Roman"/>
          <w:sz w:val="28"/>
        </w:rPr>
        <w:t>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m:oMath>
        <m:r>
          <m:t>U∈</m:t>
        </m:r>
        <m:sSup>
          <m:e>
            <m:r>
              <m:t>ℝ</m:t>
            </m:r>
          </m:e>
          <m:sup>
            <m:r>
              <m:t>m×m</m:t>
            </m:r>
          </m:sup>
        </m:sSup>
      </m:oMath>
      <w:r>
        <w:rPr>
          <w:rFonts w:ascii="Times New Roman" w:hAnsi="Times New Roman"/>
          <w:sz w:val="28"/>
        </w:rPr>
        <w:t xml:space="preserve"> — ортогональная матрица левых сингулярных векторов (собственные векторы </w:t>
      </w:r>
      <m:oMath>
        <m:r>
          <m:t>A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>
          <w:rFonts w:ascii="Times New Roman" w:hAnsi="Times New Roman"/>
          <w:sz w:val="28"/>
        </w:rP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F5F1EB"/>
            <w:tcBorders>
              <w:top w:val="none"/>
              <w:left w:val="single" w:sz="24" w:space="0" w:color="75523C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Consolas" w:hAnsi="Consolas"/>
                <w:color w:val="332211"/>
                <w:sz w:val="19"/>
              </w:rPr>
              <w:t>flowchart LR</w:t>
              <w:br/>
              <w:t xml:space="preserve">    S0["Единичная окружность S^1"] --&gt;|"1. Поворот базиса: V^T"| S1["Повернутая окружность"]</w:t>
              <w:br/>
              <w:t xml:space="preserve">    S1 --&gt;|"2. Растяжение осей: Σ"| S2["Канонический эллипс (полуоси σ1, σ2)"]</w:t>
              <w:br/>
              <w:t xml:space="preserve">    S2 --&gt;|"3. Поворот в образе: U"| S3["Итоговый эллипс A(S^1)"]</w:t>
            </w:r>
          </w:p>
        </w:tc>
      </w:tr>
    </w:tbl>
    <w:p>
      <w:pPr>
        <w:spacing w:before="80" w:after="80"/>
      </w:pPr>
    </w:p>
    <w:p>
      <w:pPr>
        <w:spacing w:before="240" w:after="80"/>
        <w:ind w:firstLine="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1511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svd_anatom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1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i/>
          <w:sz w:val="22"/>
        </w:rPr>
        <w:t>Рисунок 2.3 — Геометрическая декомпозиция сингулярного разложения (Анатомия SVD в 3 шага)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3.  </w:t>
      </w:r>
      <w:r>
        <w:rPr>
          <w:rFonts w:ascii="Times New Roman" w:hAnsi="Times New Roman"/>
          <w:b/>
          <w:sz w:val="28"/>
        </w:rPr>
        <w:t>Теорема Эккарта-Юнга-Мирского (Низкоранговая аппроксимация):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Наилучшим приближением матрицы </w:t>
      </w:r>
      <m:oMath>
        <m:r>
          <m:t>A</m:t>
        </m:r>
      </m:oMath>
      <w:r>
        <w:rPr>
          <w:rFonts w:ascii="Times New Roman" w:hAnsi="Times New Roman"/>
          <w:sz w:val="28"/>
        </w:rPr>
        <w:t xml:space="preserve"> ранга </w:t>
      </w:r>
      <m:oMath>
        <m:r>
          <m:t>r</m:t>
        </m:r>
      </m:oMath>
      <w:r>
        <w:rPr>
          <w:rFonts w:ascii="Times New Roman" w:hAnsi="Times New Roman"/>
          <w:sz w:val="28"/>
        </w:rPr>
        <w:t xml:space="preserve"> матрицей ранга </w:t>
      </w:r>
      <m:oMath>
        <m:r>
          <m:t>k&lt;r</m:t>
        </m:r>
      </m:oMath>
      <w:r>
        <w:rPr>
          <w:rFonts w:ascii="Times New Roman" w:hAnsi="Times New Roman"/>
          <w:sz w:val="28"/>
        </w:rPr>
        <w:t xml:space="preserve"> в спектральной норме </w:t>
      </w:r>
      <m:oMath>
        <m:sSub>
          <m:e>
            <m:d>
              <m:dPr>
                <m:begChr m:val="‖"/>
                <m:sepChr m:val=""/>
                <m:endChr m:val="‖"/>
              </m:dPr>
              <m:e/>
            </m:d>
          </m:e>
          <m:sub>
            <m:r>
              <m:t>2</m:t>
            </m:r>
          </m:sub>
        </m:sSub>
      </m:oMath>
      <w:r>
        <w:rPr>
          <w:rFonts w:ascii="Times New Roman" w:hAnsi="Times New Roman"/>
          <w:sz w:val="28"/>
        </w:rPr>
        <w:t xml:space="preserve"> и норме Фробениуса </w:t>
      </w:r>
      <m:oMath>
        <m:sSub>
          <m:e>
            <m:d>
              <m:dPr>
                <m:begChr m:val="‖"/>
                <m:sepChr m:val=""/>
                <m:endChr m:val="‖"/>
              </m:dPr>
              <m:e/>
            </m:d>
          </m:e>
          <m:sub>
            <m:r>
              <m:t>F</m:t>
            </m:r>
          </m:sub>
        </m:sSub>
      </m:oMath>
      <w:r>
        <w:rPr>
          <w:rFonts w:ascii="Times New Roman" w:hAnsi="Times New Roman"/>
          <w:sz w:val="28"/>
        </w:rPr>
        <w:t xml:space="preserve"> является усеченное сингулярное разложение (Truncated SVD):</w:t>
      </w:r>
    </w:p>
    <w:p>
      <w:pPr>
        <w:spacing w:before="160" w:after="160"/>
        <w:ind w:firstLine="0"/>
        <w:jc w:val="center"/>
      </w:pPr>
      <m:oMathPara>
        <m:oMath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=</m:t>
          </m:r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i=1</m:t>
              </m:r>
            </m:sub>
            <m:sup>
              <m:r>
                <m:t>k</m:t>
              </m:r>
            </m:sup>
            <m:e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u</m:t>
              </m:r>
            </m:e>
            <m:sub>
              <m:r>
                <m:t>i</m:t>
              </m:r>
            </m:sub>
          </m:sSub>
          <m:sSubSup>
            <m:e>
              <m:r>
                <m:t>v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</m:oMath>
      </m:oMathPara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>При этом точные значения погрешностей приближения выражаются через отброшенные сингулярные числа:</w:t>
      </w:r>
    </w:p>
    <w:p>
      <w:pPr>
        <w:spacing w:before="160" w:after="160"/>
        <w:ind w:firstLine="0"/>
        <w:jc w:val="center"/>
      </w:pPr>
      <m:oMathPara>
        <m:oMath>
          <m:sSub>
            <m:e>
              <m:r>
                <m:t>min</m:t>
              </m:r>
            </m:e>
            <m:sub>
              <m:r>
                <m:t>rank(B)≤k</m:t>
              </m:r>
            </m:sub>
          </m:sSub>
          <m:r>
            <m:t>‖A−B</m:t>
          </m:r>
          <m:sSub>
            <m:e>
              <m:r>
                <m:t>‖</m:t>
              </m:r>
            </m:e>
            <m:sub>
              <m:r>
                <m:t>2</m:t>
              </m:r>
            </m:sub>
          </m:sSub>
          <m:r>
            <m:t>=‖A−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sSub>
            <m:e>
              <m:r>
                <m:t>‖</m:t>
              </m:r>
            </m:e>
            <m:sub>
              <m:r>
                <m:t>2</m:t>
              </m:r>
            </m:sub>
          </m:sSub>
          <m:r>
            <m:t>=</m:t>
          </m:r>
          <m:sSub>
            <m:e>
              <m:r>
                <m:t>σ</m:t>
              </m:r>
            </m:e>
            <m:sub>
              <m:r>
                <m:t>k+1</m:t>
              </m:r>
            </m:sub>
          </m:sSub>
        </m:oMath>
      </m:oMathPara>
    </w:p>
    <w:p>
      <w:pPr>
        <w:spacing w:before="160" w:after="160"/>
        <w:ind w:firstLine="0"/>
        <w:jc w:val="center"/>
      </w:pPr>
      <m:oMathPara>
        <m:oMath>
          <m:sSub>
            <m:e>
              <m:r>
                <m:t>min</m:t>
              </m:r>
            </m:e>
            <m:sub>
              <m:r>
                <m:t>rank(B)≤k</m:t>
              </m:r>
            </m:sub>
          </m:sSub>
          <m:r>
            <m:t>‖A−B</m:t>
          </m:r>
          <m:sSubSup>
            <m:e>
              <m:r>
                <m:t>‖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t>=‖A−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sSubSup>
            <m:e>
              <m:r>
                <m:t>‖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t>=</m:t>
          </m:r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j=k+1</m:t>
              </m:r>
            </m:sub>
            <m:sup>
              <m:r>
                <m:t>r</m:t>
              </m:r>
            </m:sup>
            <m:e>
              <m:sSubSup>
                <m:e>
                  <m:r>
                    <m:t>σ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>Данная теорема является теоретическим фундаментом метода главных компонент (PCA), сжатия изображений, латентно-семантического анализа (LSA) и адаптации весов в глубоких нейросетях (LoRA).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4.  </w:t>
      </w:r>
      <w:r>
        <w:rPr>
          <w:rFonts w:ascii="Times New Roman" w:hAnsi="Times New Roman"/>
          <w:b/>
          <w:sz w:val="28"/>
        </w:rPr>
        <w:t>Сжатие весов нейросетей и метод LoRA (Low-Rank Adaptation):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В современных трансформерах матрица весов слоя внимания </w:t>
      </w:r>
      <m:oMath>
        <m:r>
          <m:t>W∈</m:t>
        </m:r>
        <m:sSup>
          <m:e>
            <m:r>
              <m:t>ℝ</m:t>
            </m:r>
          </m:e>
          <m:sup>
            <m:sSub>
              <m:e>
                <m:r>
                  <m:t>d</m:t>
                </m:r>
              </m:e>
              <m:sub>
                <m:r>
                  <m:rPr>
                    <m:nor/>
                  </m:rPr>
                  <m:t>out</m:t>
                </m:r>
              </m:sub>
            </m:sSub>
            <m:r>
              <m:t>×</m:t>
            </m:r>
            <m:sSub>
              <m:e>
                <m:r>
                  <m:t>d</m:t>
                </m:r>
              </m:e>
              <m:sub>
                <m:r>
                  <m:rPr>
                    <m:nor/>
                  </m:rPr>
                  <m:t>in</m:t>
                </m:r>
              </m:sub>
            </m:sSub>
          </m:sup>
        </m:sSup>
      </m:oMath>
      <w:r>
        <w:rPr>
          <w:rFonts w:ascii="Times New Roman" w:hAnsi="Times New Roman"/>
          <w:sz w:val="28"/>
        </w:rPr>
        <w:t xml:space="preserve"> содержит миллионы параметров. При дообучении матрицы изменений </w:t>
      </w:r>
      <m:oMath>
        <m:r>
          <m:t>ΔW</m:t>
        </m:r>
      </m:oMath>
      <w:r>
        <w:rPr>
          <w:rFonts w:ascii="Times New Roman" w:hAnsi="Times New Roman"/>
          <w:sz w:val="28"/>
        </w:rPr>
        <w:t xml:space="preserve"> аппроксимируются произведением двух низкоранговых матриц:</w:t>
      </w:r>
    </w:p>
    <w:p>
      <w:pPr>
        <w:spacing w:before="160" w:after="160"/>
        <w:ind w:firstLine="0"/>
        <w:jc w:val="center"/>
      </w:pPr>
      <m:oMathPara>
        <m:oMath>
          <m:r>
            <m:t>ΔW=B·A,B∈</m:t>
          </m:r>
          <m:sSup>
            <m:e>
              <m:r>
                <m:t>ℝ</m:t>
              </m:r>
            </m:e>
            <m:sup>
              <m:sSub>
                <m:e>
                  <m:r>
                    <m:t>d</m:t>
                  </m:r>
                </m:e>
                <m:sub>
                  <m:r>
                    <m:rPr>
                      <m:nor/>
                    </m:rPr>
                    <m:t>out</m:t>
                  </m:r>
                </m:sub>
              </m:sSub>
              <m:r>
                <m:t>×r</m:t>
              </m:r>
            </m:sup>
          </m:sSup>
          <m:r>
            <m:t>,A∈</m:t>
          </m:r>
          <m:sSup>
            <m:e>
              <m:r>
                <m:t>ℝ</m:t>
              </m:r>
            </m:e>
            <m:sup>
              <m:r>
                <m:t>r×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</m:rPr>
                    <m:t>in</m:t>
                  </m:r>
                </m:sub>
              </m:sSub>
            </m:sup>
          </m:sSup>
          <m:r>
            <m:t>,r≪min(</m:t>
          </m:r>
          <m:sSub>
            <m:e>
              <m:r>
                <m:t>d</m:t>
              </m:r>
            </m:e>
            <m:sub>
              <m:r>
                <m:rPr>
                  <m:nor/>
                </m:rPr>
                <m:t>in</m:t>
              </m:r>
            </m:sub>
          </m:sSub>
          <m:r>
            <m:t>,</m:t>
          </m:r>
          <m:sSub>
            <m:e>
              <m:r>
                <m:t>d</m:t>
              </m:r>
            </m:e>
            <m:sub>
              <m:r>
                <m:rPr>
                  <m:nor/>
                </m:rPr>
                <m:t>out</m:t>
              </m:r>
            </m:sub>
          </m:sSub>
          <m:r>
            <m:t>)</m:t>
          </m:r>
        </m:oMath>
      </m:oMathPara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Это сокращает число обучаемых параметров в </w:t>
      </w:r>
      <m:oMath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rPr>
                    <m:nor/>
                  </m:rPr>
                  <m:t>in</m:t>
                </m:r>
              </m:sub>
            </m:sSub>
            <m:sSub>
              <m:e>
                <m:r>
                  <m:t>d</m:t>
                </m:r>
              </m:e>
              <m:sub>
                <m:r>
                  <m:rPr>
                    <m:nor/>
                  </m:rPr>
                  <m:t>out</m:t>
                </m:r>
              </m:sub>
            </m:sSub>
          </m:num>
          <m:den>
            <m:r>
              <m:t>r(</m:t>
            </m:r>
            <m:sSub>
              <m:e>
                <m:r>
                  <m:t>d</m:t>
                </m:r>
              </m:e>
              <m:sub>
                <m:r>
                  <m:rPr>
                    <m:nor/>
                  </m:rPr>
                  <m:t>in</m:t>
                </m:r>
              </m:sub>
            </m:sSub>
            <m:r>
              <m:t>+</m:t>
            </m:r>
            <m:sSub>
              <m:e>
                <m:r>
                  <m:t>d</m:t>
                </m:r>
              </m:e>
              <m:sub>
                <m:r>
                  <m:rPr>
                    <m:nor/>
                  </m:rPr>
                  <m:t>out</m:t>
                </m:r>
              </m:sub>
            </m:sSub>
            <m:r>
              <m:t>)</m:t>
            </m:r>
          </m:den>
        </m:f>
      </m:oMath>
      <w:r>
        <w:rPr>
          <w:rFonts w:ascii="Times New Roman" w:hAnsi="Times New Roman"/>
          <w:sz w:val="28"/>
        </w:rPr>
        <w:t xml:space="preserve"> раз (обычно в 100–500 раз) при сохранении 98–99% качества исходной модели.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2.3. Алгоритмическая модель адаптивного контроля знаний (Quiz Gate Engine)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>Для обеспечения управляемого прохождения курса спроектирован автомат состояний (Finite State Machine, FSM), управляющий блокировкой навигационного дерева: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F5F1EB"/>
            <w:tcBorders>
              <w:top w:val="none"/>
              <w:left w:val="single" w:sz="24" w:space="0" w:color="75523C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Consolas" w:hAnsi="Consolas"/>
                <w:color w:val="332211"/>
                <w:sz w:val="19"/>
              </w:rPr>
              <w:t>stateDiagram-v2</w:t>
              <w:br/>
              <w:t xml:space="preserve">    [*] --&gt; Section_1_1: Старт курса</w:t>
              <w:br/>
              <w:t xml:space="preserve">    Section_1_1 --&gt; Locked_1_2: Изучение теории</w:t>
              <w:br/>
              <w:t xml:space="preserve">    state Section_1_1 {</w:t>
              <w:br/>
              <w:t xml:space="preserve">        [*] --&gt; Reading: Чтение теории и стенды</w:t>
              <w:br/>
              <w:t xml:space="preserve">        Reading --&gt; AnsweringQuiz: Ответ на вопрос 1.1</w:t>
              <w:br/>
              <w:t xml:space="preserve">        AnsweringQuiz --&gt; CorrectAnswer: Ответ верен</w:t>
              <w:br/>
              <w:t xml:space="preserve">        AnsweringQuiz --&gt; WrongAnswer: Ошибка (подсказка)</w:t>
              <w:br/>
              <w:t xml:space="preserve">        WrongAnswer --&gt; AnsweringQuiz: Повторная попытка</w:t>
              <w:br/>
              <w:t xml:space="preserve">    }</w:t>
              <w:br/>
              <w:t xml:space="preserve">    CorrectAnswer --&gt; Section_1_2: Разблокировка sec-1-2</w:t>
              <w:br/>
              <w:t xml:space="preserve">    Section_1_2 --&gt; Section_1_3: Вопрос 1.2 сдан</w:t>
              <w:br/>
              <w:t xml:space="preserve">    Section_1_3 --&gt; Section_1_10: Последовательное прохождение ...</w:t>
              <w:br/>
              <w:t xml:space="preserve">    Section_1_10 --&gt; PracticePool: Разблокировка Практикума</w:t>
              <w:br/>
              <w:t xml:space="preserve">    state PracticePool {</w:t>
              <w:br/>
              <w:t xml:space="preserve">        Seminar: Семинар 20 вариантов</w:t>
              <w:br/>
              <w:t xml:space="preserve">        Lab: Лабораторная работа</w:t>
              <w:br/>
              <w:t xml:space="preserve">        Exam: Контрольные вопросы</w:t>
              <w:br/>
              <w:t xml:space="preserve">    }</w:t>
            </w:r>
          </w:p>
        </w:tc>
      </w:tr>
    </w:tbl>
    <w:p>
      <w:pPr>
        <w:spacing w:before="80" w:after="80"/>
      </w:pPr>
    </w:p>
    <w:p>
      <w:pPr>
        <w:spacing w:before="80" w:after="200" w:line="288" w:lineRule="auto"/>
        <w:ind w:firstLine="0"/>
        <w:jc w:val="center"/>
      </w:pPr>
      <w:r>
        <w:rPr>
          <w:rFonts w:ascii="Times New Roman" w:hAnsi="Times New Roman"/>
          <w:i/>
          <w:color w:val="444444"/>
          <w:sz w:val="24"/>
        </w:rPr>
        <w:t>Рисунок 2.4 — Диаграмма состояний барьерного механизма Gated Learning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>Вся информация о текущем состоянии обучающегося сериализуется в JSON-формате и сохраняется в локальном хранилище браузера: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F5F1EB"/>
            <w:tcBorders>
              <w:top w:val="none"/>
              <w:left w:val="single" w:sz="24" w:space="0" w:color="75523C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Consolas" w:hAnsi="Consolas"/>
                <w:color w:val="332211"/>
                <w:sz w:val="19"/>
              </w:rPr>
              <w:t>localStorage.setItem('priklad_mod1_unlocked', JSON.stringify(['sec-intro', 'sec-1-1', 'sec-1-2']));</w:t>
              <w:br/>
              <w:t>localStorage.setItem('priklad_mod1_completed', JSON.stringify(['sec-1-1']));</w:t>
            </w:r>
          </w:p>
        </w:tc>
      </w:tr>
    </w:tbl>
    <w:p>
      <w:pPr>
        <w:spacing w:before="80" w:after="80"/>
      </w:pP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>При попытке несанкционированного клика по заблокированному разделу перехватчик событий (</w:t>
      </w:r>
      <w:r>
        <w:rPr>
          <w:rFonts w:ascii="Consolas" w:hAnsi="Consolas"/>
          <w:color w:val="75523C"/>
          <w:sz w:val="26"/>
        </w:rPr>
        <w:t>interceptNavigationClicks</w:t>
      </w:r>
      <w:r>
        <w:rPr>
          <w:rFonts w:ascii="Times New Roman" w:hAnsi="Times New Roman"/>
          <w:sz w:val="28"/>
        </w:rPr>
        <w:t>) отменяет всплытие события, предотвращает переключение DOM-контейнера и генерирует всплывающее уведомление-тост (Toast Notification) с напоминанием о необходимости ответа на текущий вопрос.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2.4. Архитектура подсистемы синтеза речи и математико-фонетического транслятора LaTeX-to-Speech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Ключевым технологическим новшеством платформы является подсистема голосового сопровождения, построенная на базе интерфейса </w:t>
      </w:r>
      <w:r>
        <w:rPr>
          <w:rFonts w:ascii="Consolas" w:hAnsi="Consolas"/>
          <w:color w:val="75523C"/>
          <w:sz w:val="26"/>
        </w:rPr>
        <w:t>SpeechSynthesis</w:t>
      </w:r>
      <w:r>
        <w:rPr>
          <w:rFonts w:ascii="Times New Roman" w:hAnsi="Times New Roman"/>
          <w:sz w:val="28"/>
        </w:rPr>
        <w:t xml:space="preserve"> стандарта W3C Web Speech API.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Проблема зависания речевого синтезатора в движках Chromium (Blink)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В процессе предпроектного исследования был выявлен критический баг браузеров на базе Chromium (Google Chrome, Microsoft Edge, Yandex Browser): при непрерывном воспроизведении речевого отрезка длительностью более 15 секунд внутренний C++ буфер синтезатора переполняется, событие </w:t>
      </w:r>
      <w:r>
        <w:rPr>
          <w:rFonts w:ascii="Consolas" w:hAnsi="Consolas"/>
          <w:color w:val="75523C"/>
          <w:sz w:val="26"/>
        </w:rPr>
        <w:t>onend</w:t>
      </w:r>
      <w:r>
        <w:rPr>
          <w:rFonts w:ascii="Times New Roman" w:hAnsi="Times New Roman"/>
          <w:sz w:val="28"/>
        </w:rPr>
        <w:t xml:space="preserve"> не генерируется, и процесс синтеза речи безвозвратно зависает до перезагрузки страницы.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Для устранения данной проблемы в архитектуре </w:t>
      </w:r>
      <w:r>
        <w:rPr>
          <w:rFonts w:ascii="Consolas" w:hAnsi="Consolas"/>
          <w:color w:val="75523C"/>
          <w:sz w:val="26"/>
        </w:rPr>
        <w:t>TTSController</w:t>
      </w:r>
      <w:r>
        <w:rPr>
          <w:rFonts w:ascii="Times New Roman" w:hAnsi="Times New Roman"/>
          <w:sz w:val="28"/>
        </w:rPr>
        <w:t xml:space="preserve"> были реализованы два инженерных решения: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1.  </w:t>
      </w:r>
      <w:r>
        <w:rPr>
          <w:rFonts w:ascii="Times New Roman" w:hAnsi="Times New Roman"/>
          <w:b/>
          <w:sz w:val="28"/>
        </w:rPr>
        <w:t>Предварительное сегментирование текста (`splitIntoSpeechSentences`):</w:t>
      </w:r>
      <w:r>
        <w:rPr>
          <w:rFonts w:ascii="Times New Roman" w:hAnsi="Times New Roman"/>
          <w:sz w:val="28"/>
        </w:rPr>
        <w:t xml:space="preserve"> Исходный текст абзаца разбивается регулярными выражениями по границам знаков препинания на короткие фонетические фразы длиной не более 80–120 символов: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F5F1EB"/>
            <w:tcBorders>
              <w:top w:val="none"/>
              <w:left w:val="single" w:sz="24" w:space="0" w:color="75523C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Consolas" w:hAnsi="Consolas"/>
                <w:color w:val="332211"/>
                <w:sz w:val="19"/>
              </w:rPr>
              <w:t>function splitIntoSpeechSentences(text) {</w:t>
              <w:br/>
              <w:t xml:space="preserve">    const raw = text.match(/[^.!?…;]+[.!?…;]+|[^.!?…;]+$/g) || [text];</w:t>
              <w:br/>
              <w:t xml:space="preserve">    return raw.map(s =&gt; s.trim()).filter(s =&gt; s.length &gt; 0);</w:t>
              <w:br/>
              <w:t>}</w:t>
            </w:r>
          </w:p>
        </w:tc>
      </w:tr>
    </w:tbl>
    <w:p>
      <w:pPr>
        <w:spacing w:before="80" w:after="80"/>
      </w:pP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2.  </w:t>
      </w:r>
      <w:r>
        <w:rPr>
          <w:rFonts w:ascii="Times New Roman" w:hAnsi="Times New Roman"/>
          <w:b/>
          <w:sz w:val="28"/>
        </w:rPr>
        <w:t>Сторожевой таймер активности (Heartbeat Timer):</w:t>
      </w:r>
      <w:r>
        <w:rPr>
          <w:rFonts w:ascii="Times New Roman" w:hAnsi="Times New Roman"/>
          <w:sz w:val="28"/>
        </w:rPr>
        <w:t xml:space="preserve"> Фоновый таймер каждые 10 секунд инициирует фиктивную микропаузу </w:t>
      </w:r>
      <w:r>
        <w:rPr>
          <w:rFonts w:ascii="Consolas" w:hAnsi="Consolas"/>
          <w:color w:val="75523C"/>
          <w:sz w:val="26"/>
        </w:rPr>
        <w:t>speechSynthesis.pause()</w:t>
      </w:r>
      <w:r>
        <w:rPr>
          <w:rFonts w:ascii="Times New Roman" w:hAnsi="Times New Roman"/>
          <w:sz w:val="28"/>
        </w:rPr>
        <w:t xml:space="preserve"> с немедленным вызовом </w:t>
      </w:r>
      <w:r>
        <w:rPr>
          <w:rFonts w:ascii="Consolas" w:hAnsi="Consolas"/>
          <w:color w:val="75523C"/>
          <w:sz w:val="26"/>
        </w:rPr>
        <w:t>speechSynthesis.resume()</w:t>
      </w:r>
      <w:r>
        <w:rPr>
          <w:rFonts w:ascii="Times New Roman" w:hAnsi="Times New Roman"/>
          <w:sz w:val="28"/>
        </w:rPr>
        <w:t>, что сбрасывает внутренний таймаут ожидания движка рендеринга ОС.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Алгоритм синтаксической трансляции формул LaTeX в естественную речь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Функция </w:t>
      </w:r>
      <w:r>
        <w:rPr>
          <w:rFonts w:ascii="Consolas" w:hAnsi="Consolas"/>
          <w:color w:val="75523C"/>
          <w:sz w:val="26"/>
        </w:rPr>
        <w:t>latexToSpokenRussian(tex)</w:t>
      </w:r>
      <w:r>
        <w:rPr>
          <w:rFonts w:ascii="Times New Roman" w:hAnsi="Times New Roman"/>
          <w:sz w:val="28"/>
        </w:rPr>
        <w:t xml:space="preserve"> выполняет многопроходный парсинг TeX-нотации по каскаду регулярных выражений: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Снятие декоративных оберток (</w:t>
      </w:r>
      <w:r>
        <w:rPr>
          <w:rFonts w:ascii="Consolas" w:hAnsi="Consolas"/>
          <w:color w:val="75523C"/>
          <w:sz w:val="26"/>
        </w:rPr>
        <w:t>\mathbf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color w:val="75523C"/>
          <w:sz w:val="26"/>
        </w:rPr>
        <w:t>\mathrm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color w:val="75523C"/>
          <w:sz w:val="26"/>
        </w:rPr>
        <w:t>\boldsymbol</w:t>
      </w:r>
      <w:r>
        <w:rPr>
          <w:rFonts w:ascii="Times New Roman" w:hAnsi="Times New Roman"/>
          <w:sz w:val="28"/>
        </w:rPr>
        <w:t>);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Трансляция многомерных пространств:</w:t>
      </w:r>
    </w:p>
    <w:p>
      <w:pPr>
        <w:spacing w:before="160" w:after="160"/>
        <w:ind w:firstLine="0"/>
        <w:jc w:val="center"/>
      </w:pPr>
      <m:oMathPara>
        <m:oMath>
          <m:sSup>
            <m:e>
              <m:r>
                <m:t>ℝ</m:t>
              </m:r>
            </m:e>
            <m:sup>
              <m:r>
                <m:t>m×n</m:t>
              </m:r>
            </m:sup>
          </m:sSup>
          <m:r>
            <m:t>⟶</m:t>
          </m:r>
          <m:r>
            <m:rPr>
              <m:nor/>
            </m:rPr>
            <m:t>«пространство матриц размера эм на эн»</m:t>
          </m:r>
        </m:oMath>
      </m:oMathPara>
    </w:p>
    <w:p>
      <w:pPr>
        <w:spacing w:before="160" w:after="160"/>
        <w:ind w:firstLine="0"/>
        <w:jc w:val="center"/>
      </w:pPr>
      <m:oMathPara>
        <m:oMath>
          <m:sSup>
            <m:e>
              <m:r>
                <m:t>ℝ</m:t>
              </m:r>
            </m:e>
            <m:sup>
              <m:r>
                <m:t>d</m:t>
              </m:r>
            </m:sup>
          </m:sSup>
          <m:r>
            <m:t>⟶</m:t>
          </m:r>
          <m:r>
            <m:rPr>
              <m:nor/>
            </m:rPr>
            <m:t>«пространство эр дэ»</m:t>
          </m:r>
        </m:oMath>
      </m:oMathPara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Трансляция операторов и характеристик:</w:t>
      </w:r>
    </w:p>
    <w:p>
      <w:pPr>
        <w:spacing w:before="160" w:after="160"/>
        <w:ind w:firstLine="0"/>
        <w:jc w:val="center"/>
      </w:pPr>
      <m:oMathPara>
        <m:oMath>
          <m:r>
            <m:t>Span(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t>)⟶</m:t>
          </m:r>
          <m:r>
            <m:rPr>
              <m:nor/>
            </m:rPr>
            <m:t>«линейная оболочка спан вэ один, вэ два»</m:t>
          </m:r>
        </m:oMath>
      </m:oMathPara>
    </w:p>
    <w:p>
      <w:pPr>
        <w:spacing w:before="160" w:after="160"/>
        <w:ind w:firstLine="0"/>
        <w:jc w:val="center"/>
      </w:pPr>
      <m:oMathPara>
        <m:oMath>
          <m:r>
            <m:t>Ker(T),Im(T)⟶</m:t>
          </m:r>
          <m:r>
            <m:rPr>
              <m:nor/>
            </m:rPr>
            <m:t>«ядро оператора тэ», «образ оператора тэ»</m:t>
          </m:r>
        </m:oMath>
      </m:oMathPara>
    </w:p>
    <w:p>
      <w:pPr>
        <w:spacing w:before="160" w:after="160"/>
        <w:ind w:firstLine="0"/>
        <w:jc w:val="center"/>
      </w:pPr>
      <m:oMathPara>
        <m:oMath>
          <m:r>
            <m:t>rank(A),tr(A)⟶</m:t>
          </m:r>
          <m:r>
            <m:rPr>
              <m:nor/>
            </m:rPr>
            <m:t>«ранг матрицы а», «след матрицы а»</m:t>
          </m:r>
        </m:oMath>
      </m:oMathPara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Трансляция векторных норм и скалярных произведений:</w:t>
      </w:r>
    </w:p>
    <w:p>
      <w:pPr>
        <w:spacing w:before="160" w:after="160"/>
        <w:ind w:firstLine="0"/>
        <w:jc w:val="center"/>
      </w:pPr>
      <m:oMathPara>
        <m:oMath>
          <m:r>
            <m:t>‖u−v</m:t>
          </m:r>
          <m:sSubSup>
            <m:e>
              <m:r>
                <m:t>‖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t>⟶</m:t>
          </m:r>
          <m:r>
            <m:rPr>
              <m:nor/>
            </m:rPr>
            <m:t>«квадрат евклидовой нормы разности у и вэ»</m:t>
          </m:r>
        </m:oMath>
      </m:oMathPara>
    </w:p>
    <w:p>
      <w:pPr>
        <w:spacing w:before="160" w:after="160"/>
        <w:ind w:firstLine="0"/>
        <w:jc w:val="center"/>
      </w:pPr>
      <m:oMathPara>
        <m:oMath>
          <m:r>
            <m:t>‖x</m:t>
          </m:r>
          <m:sSub>
            <m:e>
              <m:r>
                <m:t>‖</m:t>
              </m:r>
            </m:e>
            <m:sub>
              <m:r>
                <m:t>1</m:t>
              </m:r>
            </m:sub>
          </m:sSub>
          <m:r>
            <m:t>⟶</m:t>
          </m:r>
          <m:r>
            <m:rPr>
              <m:nor/>
            </m:rPr>
            <m:t>«эль один норма вектора икс»</m:t>
          </m:r>
        </m:oMath>
      </m:oMathPara>
    </w:p>
    <w:p>
      <w:pPr>
        <w:spacing w:before="160" w:after="160"/>
        <w:ind w:firstLine="0"/>
        <w:jc w:val="center"/>
      </w:pPr>
      <m:oMathPara>
        <m:oMath>
          <m:r>
            <m:t>⟨u,v⟩⟶</m:t>
          </m:r>
          <m:r>
            <m:rPr>
              <m:nor/>
            </m:rPr>
            <m:t>«скалярное произведение векторов у и вэ»</m:t>
          </m:r>
        </m:oMath>
      </m:oMathPara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Трансляция специфических констант и индексов:</w:t>
      </w:r>
    </w:p>
    <w:p>
      <w:pPr>
        <w:spacing w:before="160" w:after="160"/>
        <w:ind w:firstLine="0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rad>
            </m:den>
          </m:f>
          <m:r>
            <m:t>⟶</m:t>
          </m:r>
          <m:r>
            <m:rPr>
              <m:nor/>
            </m:rPr>
            <m:t>«единица, деленная на корень из дэ ка»</m:t>
          </m:r>
        </m:oMath>
      </m:oMathPara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2.5. Дизайн-система «Coffee &amp; Porcelain» и эргономика интерфейса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Интерфейс учебника спроектирован с учетом требований когнитивной эргономики и эстетики академических изданий. В отличие от стандартных контрастных тем («черный текст на ослепительно белом фоне»), вызывающих быстрое утомление глаз при чтении математических формул, в «PRIKLAD» разработана теплая гармоничная дизайн-система </w:t>
      </w:r>
      <w:r>
        <w:rPr>
          <w:rFonts w:ascii="Times New Roman" w:hAnsi="Times New Roman"/>
          <w:b/>
          <w:sz w:val="28"/>
        </w:rPr>
        <w:t>«Coffee &amp; Porcelain»</w:t>
      </w:r>
      <w:r>
        <w:rPr>
          <w:rFonts w:ascii="Times New Roman" w:hAnsi="Times New Roman"/>
          <w:sz w:val="28"/>
        </w:rPr>
        <w:t>: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b/>
          <w:sz w:val="28"/>
        </w:rPr>
        <w:t>Фарфоровая база (Porcelain Surface):</w:t>
      </w:r>
      <w:r>
        <w:rPr>
          <w:rFonts w:ascii="Times New Roman" w:hAnsi="Times New Roman"/>
          <w:sz w:val="28"/>
        </w:rPr>
        <w:t xml:space="preserve"> Основной фон страниц выполнен в оттенках натурального неглазурованного фарфора (</w:t>
      </w:r>
      <w:r>
        <w:rPr>
          <w:rFonts w:ascii="Consolas" w:hAnsi="Consolas"/>
          <w:color w:val="75523C"/>
          <w:sz w:val="26"/>
        </w:rPr>
        <w:t>--bg-primary: #FAF8F5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color w:val="75523C"/>
          <w:sz w:val="26"/>
        </w:rPr>
        <w:t>--bg-card: #FFFFFF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color w:val="75523C"/>
          <w:sz w:val="26"/>
        </w:rPr>
        <w:t>--bg-secondary: #F5F1EB</w:t>
      </w:r>
      <w:r>
        <w:rPr>
          <w:rFonts w:ascii="Times New Roman" w:hAnsi="Times New Roman"/>
          <w:sz w:val="28"/>
        </w:rPr>
        <w:t>), что обеспечивает мягкий контраст (соотношение контрастности 12.8:1 по стандарту WCAG AAA);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b/>
          <w:sz w:val="28"/>
        </w:rPr>
        <w:t>Кофейная типографика (Coffee Roast):</w:t>
      </w:r>
      <w:r>
        <w:rPr>
          <w:rFonts w:ascii="Times New Roman" w:hAnsi="Times New Roman"/>
          <w:sz w:val="28"/>
        </w:rPr>
        <w:t xml:space="preserve"> Основной текст и заголовки оформлены в цветах темного шоколада и свежеобжаренного кофе (</w:t>
      </w:r>
      <w:r>
        <w:rPr>
          <w:rFonts w:ascii="Consolas" w:hAnsi="Consolas"/>
          <w:color w:val="75523C"/>
          <w:sz w:val="26"/>
        </w:rPr>
        <w:t>--text-primary: #2A1D17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color w:val="75523C"/>
          <w:sz w:val="26"/>
        </w:rPr>
        <w:t>--text-secondary: #5E4E45</w:t>
      </w:r>
      <w:r>
        <w:rPr>
          <w:rFonts w:ascii="Times New Roman" w:hAnsi="Times New Roman"/>
          <w:sz w:val="28"/>
        </w:rPr>
        <w:t>), создавая ощущение чтения классической печатной университетской книги;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b/>
          <w:sz w:val="28"/>
        </w:rPr>
        <w:t>Акцентные маркеры:</w:t>
      </w:r>
      <w:r>
        <w:rPr>
          <w:rFonts w:ascii="Times New Roman" w:hAnsi="Times New Roman"/>
          <w:sz w:val="28"/>
        </w:rPr>
        <w:t xml:space="preserve"> Акцентные элементы (кнопки, слайдеры, активные вкладки) используют оттенки теплой карамели и мокко (</w:t>
      </w:r>
      <w:r>
        <w:rPr>
          <w:rFonts w:ascii="Consolas" w:hAnsi="Consolas"/>
          <w:color w:val="75523C"/>
          <w:sz w:val="26"/>
        </w:rPr>
        <w:t>--coffee-accent: #75523C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color w:val="75523C"/>
          <w:sz w:val="26"/>
        </w:rPr>
        <w:t>--coffee-hover: #5C3E2D</w:t>
      </w:r>
      <w:r>
        <w:rPr>
          <w:rFonts w:ascii="Times New Roman" w:hAnsi="Times New Roman"/>
          <w:sz w:val="28"/>
        </w:rPr>
        <w:t>);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b/>
          <w:sz w:val="28"/>
        </w:rPr>
        <w:t>Плавающий медиа-плеер лекции:</w:t>
      </w:r>
      <w:r>
        <w:rPr>
          <w:rFonts w:ascii="Times New Roman" w:hAnsi="Times New Roman"/>
          <w:sz w:val="28"/>
        </w:rPr>
        <w:t xml:space="preserve"> В верхней части каждого подраздела расположен компактный блок управления аудиопотоком с возможностью выбора голоса (системные русские дикторы Microsoft Irina/Dmitry, Google русский, Yandex), селектором скорости чтения (</w:t>
      </w:r>
      <m:oMath>
        <m:r>
          <m:t>0.8×,1.0×,1.25×,1.5×</m:t>
        </m:r>
      </m:oMath>
      <w:r>
        <w:rPr>
          <w:rFonts w:ascii="Times New Roman" w:hAnsi="Times New Roman"/>
          <w:sz w:val="28"/>
        </w:rPr>
        <w:t>) и кнопками управления.</w:t>
      </w:r>
    </w:p>
    <w:p>
      <w:r>
        <w:br w:type="page"/>
      </w:r>
    </w:p>
    <w:p>
      <w:pPr>
        <w:spacing w:before="360" w:after="320"/>
        <w:ind w:firstLine="0"/>
        <w:jc w:val="center"/>
      </w:pPr>
      <w:r>
        <w:rPr>
          <w:rFonts w:ascii="Times New Roman" w:hAnsi="Times New Roman"/>
          <w:b/>
          <w:color w:val="1A1A1A"/>
          <w:sz w:val="32"/>
        </w:rPr>
        <w:t>ГЛАВА 3. ПРОГРАММНАЯ РЕАЛИЗАЦИЯ ИНТЕРАКТИВНОГО УЧЕБНОГО КОМПЛЕКСА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3.1. Структура кодовой базы и организация модульной архитектуры Single Page Application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>Файловая структура проекта организована по принципу модульного разделения ответственности: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F5F1EB"/>
            <w:tcBorders>
              <w:top w:val="none"/>
              <w:left w:val="single" w:sz="24" w:space="0" w:color="75523C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Consolas" w:hAnsi="Consolas"/>
                <w:color w:val="332211"/>
                <w:sz w:val="19"/>
              </w:rPr>
              <w:t>PRIKLAD/</w:t>
              <w:br/>
              <w:t>├── index.html              # Главная веб-страница (SPA каркас, контейнеры 3 модулей)</w:t>
              <w:br/>
              <w:t>├── css/</w:t>
              <w:br/>
              <w:t>│   ├── style.css           # Базовые стили, дизайн-система Coffee &amp; Porcelain, верстка</w:t>
              <w:br/>
              <w:t>│   └── quiz.css            # Стили карточек барьерного тестирования и индикаторов</w:t>
              <w:br/>
              <w:t>├── js/</w:t>
              <w:br/>
              <w:t>│   ├── app.js              # Вычислительные алгоритмы, 3D WebGL стенды, TTSController</w:t>
              <w:br/>
              <w:t>│   ├── quiz-engine.js      # Движок барьерного прогресса, FSM блокировок, LocalStorage</w:t>
              <w:br/>
              <w:t>│   ├── quiz-data.js        # Банк проверочных вопросов с дидактическими подсказками</w:t>
              <w:br/>
              <w:t>│   └── variants.js         # Генератор 20 вариантов для Семинаров 1-3 и Лабораторных 1-3</w:t>
              <w:br/>
              <w:t>├── libs/                   # Полностью локальные автономные библиотеки (Offline-First)</w:t>
              <w:br/>
              <w:t>│   ├── plotly-2.30.0.min.js# Графический движок научных визуализаций</w:t>
              <w:br/>
              <w:t>│   └── katex/              # Математический рендерер формул KaTeX</w:t>
              <w:br/>
              <w:t>│       ├── katex.min.js</w:t>
              <w:br/>
              <w:t>│       ├── katex.min.css</w:t>
              <w:br/>
              <w:t>│       ├── contrib/auto-render.min.js</w:t>
              <w:br/>
              <w:t>│       └── fonts/          # 60 локальных шрифтов KaTeX (woff, woff2, ttf)</w:t>
              <w:br/>
              <w:t>├── server.py               # Легковесный кроссплатформенный локальный HTTP-сервер</w:t>
              <w:br/>
              <w:t>└── README.md               # Техническая документация проекта</w:t>
            </w:r>
          </w:p>
        </w:tc>
      </w:tr>
    </w:tbl>
    <w:p>
      <w:pPr>
        <w:spacing w:before="80" w:after="80"/>
      </w:pP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>Каждый модуль курса изолирован в собственном DOM-контейнере (</w:t>
      </w:r>
      <w:r>
        <w:rPr>
          <w:rFonts w:ascii="Consolas" w:hAnsi="Consolas"/>
          <w:color w:val="75523C"/>
          <w:sz w:val="26"/>
        </w:rPr>
        <w:t>#module-1-content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color w:val="75523C"/>
          <w:sz w:val="26"/>
        </w:rPr>
        <w:t>#module-2-content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color w:val="75523C"/>
          <w:sz w:val="26"/>
        </w:rPr>
        <w:t>#module-3-content</w:t>
      </w:r>
      <w:r>
        <w:rPr>
          <w:rFonts w:ascii="Times New Roman" w:hAnsi="Times New Roman"/>
          <w:sz w:val="28"/>
        </w:rPr>
        <w:t>). Переключение между модулями осуществляется через верхнюю панель табов без перезагрузки документа, с автоматической реинициализацией математического рендеринга KaTeX в активном контейнере.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3.2. Программная реализация интерактивных 2D/3D WebGL-стендов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Для построения высокопроизводительной графики используется библиотека Plotly.js, работающая поверх низкоуровневого API WebGL. Чтобы гарантировать стабильную частоту кадров 60 FPS при непрерывном перемещении ползунков пользователем, в файле </w:t>
      </w:r>
      <w:r>
        <w:rPr>
          <w:rFonts w:ascii="Consolas" w:hAnsi="Consolas"/>
          <w:color w:val="75523C"/>
          <w:sz w:val="26"/>
        </w:rPr>
        <w:t>app.js</w:t>
      </w:r>
      <w:r>
        <w:rPr>
          <w:rFonts w:ascii="Times New Roman" w:hAnsi="Times New Roman"/>
          <w:sz w:val="28"/>
        </w:rPr>
        <w:t xml:space="preserve"> реализован паттерн дросселирования на основе системных прерываний экрана </w:t>
      </w:r>
      <w:r>
        <w:rPr>
          <w:rFonts w:ascii="Consolas" w:hAnsi="Consolas"/>
          <w:color w:val="75523C"/>
          <w:sz w:val="26"/>
        </w:rPr>
        <w:t>window.requestAnimationFrame</w:t>
      </w:r>
      <w:r>
        <w:rPr>
          <w:rFonts w:ascii="Times New Roman" w:hAnsi="Times New Roman"/>
          <w:sz w:val="28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F5F1EB"/>
            <w:tcBorders>
              <w:top w:val="none"/>
              <w:left w:val="single" w:sz="24" w:space="0" w:color="75523C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Consolas" w:hAnsi="Consolas"/>
                <w:color w:val="332211"/>
                <w:sz w:val="19"/>
              </w:rPr>
              <w:t>// Листинг 3.1 — Механизм дросселирования анимации через requestAnimationFrame</w:t>
              <w:br/>
              <w:t>function rafThrottle(fn) {</w:t>
              <w:br/>
              <w:t xml:space="preserve">    let ticking = false;</w:t>
              <w:br/>
              <w:t xml:space="preserve">    return function (...args) {</w:t>
              <w:br/>
              <w:t xml:space="preserve">        if (!ticking) {</w:t>
              <w:br/>
              <w:t xml:space="preserve">            window.requestAnimationFrame(() =&gt; {</w:t>
              <w:br/>
              <w:t xml:space="preserve">                fn.apply(this, args);</w:t>
              <w:br/>
              <w:t xml:space="preserve">                ticking = false;</w:t>
              <w:br/>
              <w:t xml:space="preserve">            });</w:t>
              <w:br/>
              <w:t xml:space="preserve">            ticking = true;</w:t>
              <w:br/>
              <w:t xml:space="preserve">        }</w:t>
              <w:br/>
              <w:t xml:space="preserve">    };</w:t>
              <w:br/>
              <w:t>}</w:t>
            </w:r>
          </w:p>
        </w:tc>
      </w:tr>
    </w:tbl>
    <w:p>
      <w:pPr>
        <w:spacing w:before="80" w:after="80"/>
      </w:pP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Для предотвращения утечек памяти и артефактов накопления графических объектов в DOM-дереве вместо ресурсоемкого метода </w:t>
      </w:r>
      <w:r>
        <w:rPr>
          <w:rFonts w:ascii="Consolas" w:hAnsi="Consolas"/>
          <w:color w:val="75523C"/>
          <w:sz w:val="26"/>
        </w:rPr>
        <w:t>Plotly.newPlot</w:t>
      </w:r>
      <w:r>
        <w:rPr>
          <w:rFonts w:ascii="Times New Roman" w:hAnsi="Times New Roman"/>
          <w:sz w:val="28"/>
        </w:rPr>
        <w:t xml:space="preserve"> (создающего новый холст с нуля) используется оптимизированный инкрементальный вызов </w:t>
      </w:r>
      <w:r>
        <w:rPr>
          <w:rFonts w:ascii="Consolas" w:hAnsi="Consolas"/>
          <w:color w:val="75523C"/>
          <w:sz w:val="26"/>
        </w:rPr>
        <w:t>Plotly.react</w:t>
      </w:r>
      <w:r>
        <w:rPr>
          <w:rFonts w:ascii="Times New Roman" w:hAnsi="Times New Roman"/>
          <w:sz w:val="28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F5F1EB"/>
            <w:tcBorders>
              <w:top w:val="none"/>
              <w:left w:val="single" w:sz="24" w:space="0" w:color="75523C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Consolas" w:hAnsi="Consolas"/>
                <w:color w:val="332211"/>
                <w:sz w:val="19"/>
              </w:rPr>
              <w:t>// Листинг 3.2 — Инкрементальное обновление 3D-сцены с сохранением ракурса камеры</w:t>
              <w:br/>
              <w:t>function updateSpan3D() {</w:t>
              <w:br/>
              <w:t xml:space="preserve">    const isDependent = document.getElementById('span-dep-toggle').checked;</w:t>
              <w:br/>
              <w:t xml:space="preserve">    const v3 = isDependent ? [1, 2, 0] : [0.5, 0.5, 2.0]; // Коллапс в плоскость vs R^3</w:t>
              <w:br/>
              <w:t xml:space="preserve">    </w:t>
              <w:br/>
              <w:t xml:space="preserve">    const traceVectors = {</w:t>
              <w:br/>
              <w:t xml:space="preserve">        type: 'scatter3d',</w:t>
              <w:br/>
              <w:t xml:space="preserve">        mode: 'lines+markers',</w:t>
              <w:br/>
              <w:t xml:space="preserve">        x: [0, 1, null, 0, 0, null, 0, v3[0]],</w:t>
              <w:br/>
              <w:t xml:space="preserve">        y: [0, 0, null, 0, 1, null, 0, v3[1]],</w:t>
              <w:br/>
              <w:t xml:space="preserve">        z: [0, 0, null, 0, 0, null, 0, v3[2]],</w:t>
              <w:br/>
              <w:t xml:space="preserve">        line: { width: 6, color: '#75523C' },</w:t>
              <w:br/>
              <w:t xml:space="preserve">        marker: { size: 4, color: '#2A1D17' },</w:t>
              <w:br/>
              <w:t xml:space="preserve">        name: 'Базисные векторы'</w:t>
              <w:br/>
              <w:t xml:space="preserve">    };</w:t>
              <w:br/>
              <w:br/>
              <w:t xml:space="preserve">    const layout = {</w:t>
              <w:br/>
              <w:t xml:space="preserve">        uirevision: 'span_constant_camera', // Сохранение положения 3D камеры!</w:t>
              <w:br/>
              <w:t xml:space="preserve">        margin: { l: 0, r: 0, b: 0, t: 0 },</w:t>
              <w:br/>
              <w:t xml:space="preserve">        scene: {</w:t>
              <w:br/>
              <w:t xml:space="preserve">            xaxis: { range: [-2, 2], title: 'X' },</w:t>
              <w:br/>
              <w:t xml:space="preserve">            yaxis: { range: [-2, 2], title: 'Y' },</w:t>
              <w:br/>
              <w:t xml:space="preserve">            zaxis: { range: [-2, 2], title: 'Z' }</w:t>
              <w:br/>
              <w:t xml:space="preserve">        }</w:t>
              <w:br/>
              <w:t xml:space="preserve">    };</w:t>
              <w:br/>
              <w:br/>
              <w:t xml:space="preserve">    Plotly.react('plot-span-3d', [traceVectors, tracePlane], layout, { responsive: true });</w:t>
              <w:br/>
              <w:t>}</w:t>
            </w:r>
          </w:p>
        </w:tc>
      </w:tr>
    </w:tbl>
    <w:p>
      <w:pPr>
        <w:spacing w:before="80" w:after="80"/>
      </w:pP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Ключевым параметром здесь является </w:t>
      </w:r>
      <w:r>
        <w:rPr>
          <w:rFonts w:ascii="Consolas" w:hAnsi="Consolas"/>
          <w:color w:val="75523C"/>
          <w:sz w:val="26"/>
        </w:rPr>
        <w:t>uirevision: 'span_constant_camera'</w:t>
      </w:r>
      <w:r>
        <w:rPr>
          <w:rFonts w:ascii="Times New Roman" w:hAnsi="Times New Roman"/>
          <w:sz w:val="28"/>
        </w:rPr>
        <w:t>. Без этого параметра при каждом сдвиге ползунка библиотека сбрасывала бы положение виртуальной 3D-камеры в начальный ракурс, дезориентируя пользователя.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3.3. Разработка подсистемы озвучивания лекций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>Подсистема озвучивания (</w:t>
      </w:r>
      <w:r>
        <w:rPr>
          <w:rFonts w:ascii="Consolas" w:hAnsi="Consolas"/>
          <w:color w:val="75523C"/>
          <w:sz w:val="26"/>
        </w:rPr>
        <w:t>TTSController</w:t>
      </w:r>
      <w:r>
        <w:rPr>
          <w:rFonts w:ascii="Times New Roman" w:hAnsi="Times New Roman"/>
          <w:sz w:val="28"/>
        </w:rPr>
        <w:t>) реализует полный жизненный цикл речевого плеера: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1.  </w:t>
      </w:r>
      <w:r>
        <w:rPr>
          <w:rFonts w:ascii="Times New Roman" w:hAnsi="Times New Roman"/>
          <w:sz w:val="28"/>
        </w:rPr>
        <w:t>Предварительное клонирование текстового узла с удалением интерактивных кнопок, селекторов и графических холстов (</w:t>
      </w:r>
      <w:r>
        <w:rPr>
          <w:rFonts w:ascii="Consolas" w:hAnsi="Consolas"/>
          <w:color w:val="75523C"/>
          <w:sz w:val="26"/>
        </w:rPr>
        <w:t>clone.querySelectorAll('button, .plot-container').forEach(el =&gt; el.remove())</w:t>
      </w:r>
      <w:r>
        <w:rPr>
          <w:rFonts w:ascii="Times New Roman" w:hAnsi="Times New Roman"/>
          <w:sz w:val="28"/>
        </w:rPr>
        <w:t>);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2.  </w:t>
      </w:r>
      <w:r>
        <w:rPr>
          <w:rFonts w:ascii="Times New Roman" w:hAnsi="Times New Roman"/>
          <w:sz w:val="28"/>
        </w:rPr>
        <w:t xml:space="preserve">Извлечение исходного TeX-кода из служебных тегов </w:t>
      </w:r>
      <w:r>
        <w:rPr>
          <w:rFonts w:ascii="Consolas" w:hAnsi="Consolas"/>
          <w:color w:val="75523C"/>
          <w:sz w:val="26"/>
        </w:rPr>
        <w:t>&lt;annotation&gt;</w:t>
      </w:r>
      <w:r>
        <w:rPr>
          <w:rFonts w:ascii="Times New Roman" w:hAnsi="Times New Roman"/>
          <w:sz w:val="28"/>
        </w:rPr>
        <w:t xml:space="preserve"> KaTeX и замена узлов на фонетическую русскую транскрипцию;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3.  </w:t>
      </w:r>
      <w:r>
        <w:rPr>
          <w:rFonts w:ascii="Times New Roman" w:hAnsi="Times New Roman"/>
          <w:sz w:val="28"/>
        </w:rPr>
        <w:t>Нарезка полученного чистого текста на список предложений;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4.  </w:t>
      </w:r>
      <w:r>
        <w:rPr>
          <w:rFonts w:ascii="Times New Roman" w:hAnsi="Times New Roman"/>
          <w:sz w:val="28"/>
        </w:rPr>
        <w:t xml:space="preserve">Последовательное озвучивание через очередь объектов </w:t>
      </w:r>
      <w:r>
        <w:rPr>
          <w:rFonts w:ascii="Consolas" w:hAnsi="Consolas"/>
          <w:color w:val="75523C"/>
          <w:sz w:val="26"/>
        </w:rPr>
        <w:t>SpeechSynthesisUtterance</w:t>
      </w:r>
      <w:r>
        <w:rPr>
          <w:rFonts w:ascii="Times New Roman" w:hAnsi="Times New Roman"/>
          <w:sz w:val="28"/>
        </w:rPr>
        <w:t>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5.  </w:t>
      </w:r>
      <w:r>
        <w:rPr>
          <w:rFonts w:ascii="Times New Roman" w:hAnsi="Times New Roman"/>
          <w:sz w:val="28"/>
        </w:rPr>
        <w:t>Синхронная динамическая подсветка читаемого абзаца в DOM: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F5F1EB"/>
            <w:tcBorders>
              <w:top w:val="none"/>
              <w:left w:val="single" w:sz="24" w:space="0" w:color="75523C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Consolas" w:hAnsi="Consolas"/>
                <w:color w:val="332211"/>
                <w:sz w:val="19"/>
              </w:rPr>
              <w:t>// Листинг 3.3 — Фрагмент механизма караоке-подсветки</w:t>
              <w:br/>
              <w:t>currentBlock.element.classList.add('tts-reading-highlight');</w:t>
              <w:br/>
              <w:t>currentBlock.element.scrollIntoView({ behavior: 'smooth', block: 'center' });</w:t>
            </w:r>
          </w:p>
        </w:tc>
      </w:tr>
    </w:tbl>
    <w:p>
      <w:pPr>
        <w:spacing w:before="80" w:after="80"/>
      </w:pP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Класс стилей </w:t>
      </w:r>
      <w:r>
        <w:rPr>
          <w:rFonts w:ascii="Consolas" w:hAnsi="Consolas"/>
          <w:color w:val="75523C"/>
          <w:sz w:val="26"/>
        </w:rPr>
        <w:t>.tts-reading-highlight</w:t>
      </w:r>
      <w:r>
        <w:rPr>
          <w:rFonts w:ascii="Times New Roman" w:hAnsi="Times New Roman"/>
          <w:sz w:val="28"/>
        </w:rPr>
        <w:t xml:space="preserve"> задает мягкое фоновое свечение цвета теплого мокко (</w:t>
      </w:r>
      <w:r>
        <w:rPr>
          <w:rFonts w:ascii="Consolas" w:hAnsi="Consolas"/>
          <w:color w:val="75523C"/>
          <w:sz w:val="26"/>
        </w:rPr>
        <w:t>background-color: rgba(117, 82, 60, 0.08); border-left: 4px solid #75523C;</w:t>
      </w:r>
      <w:r>
        <w:rPr>
          <w:rFonts w:ascii="Times New Roman" w:hAnsi="Times New Roman"/>
          <w:sz w:val="28"/>
        </w:rPr>
        <w:t>), визуально направляя взгляд обучающегося вслед за голосом диктора.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3.4. Реализация системы контрольных проверочных вопросов и генератора 20 вариантов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Для обеспечения академической честности при проведении практических и лабораторных занятий в платформу встроен детерминированный генератор псевдослучайных данных на алгоритме </w:t>
      </w:r>
      <w:r>
        <w:rPr>
          <w:rFonts w:ascii="Times New Roman" w:hAnsi="Times New Roman"/>
          <w:b/>
          <w:sz w:val="28"/>
        </w:rPr>
        <w:t>Mulberry32</w:t>
      </w:r>
      <w:r>
        <w:rPr>
          <w:rFonts w:ascii="Times New Roman" w:hAnsi="Times New Roman"/>
          <w:sz w:val="28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F5F1EB"/>
            <w:tcBorders>
              <w:top w:val="none"/>
              <w:left w:val="single" w:sz="24" w:space="0" w:color="75523C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Consolas" w:hAnsi="Consolas"/>
                <w:color w:val="332211"/>
                <w:sz w:val="19"/>
              </w:rPr>
              <w:t>// Листинг 3.4 — Генератор псевдослучайных чисел Mulberry32 с фиксированным сидом</w:t>
              <w:br/>
              <w:t>function createRng(seed) {</w:t>
              <w:br/>
              <w:t xml:space="preserve">    let s = seed &gt;&gt;&gt; 0;</w:t>
              <w:br/>
              <w:t xml:space="preserve">    return function() {</w:t>
              <w:br/>
              <w:t xml:space="preserve">        s = (s + 0x6D2B79F5) &gt;&gt;&gt; 0;</w:t>
              <w:br/>
              <w:t xml:space="preserve">        let t = Math.imul(s ^ (s &gt;&gt;&gt; 15), 1 | s);</w:t>
              <w:br/>
              <w:t xml:space="preserve">        t = (t + Math.imul(t ^ (t &gt;&gt;&gt; 7), 61 | t)) ^ t;</w:t>
              <w:br/>
              <w:t xml:space="preserve">        return ((t ^ (t &gt;&gt;&gt; 14)) &gt;&gt;&gt; 0) / 4294967296;</w:t>
              <w:br/>
              <w:t xml:space="preserve">    };</w:t>
              <w:br/>
              <w:t>}</w:t>
            </w:r>
          </w:p>
        </w:tc>
      </w:tr>
    </w:tbl>
    <w:p>
      <w:pPr>
        <w:spacing w:before="80" w:after="80"/>
      </w:pP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Использование целочисленного генератора гарантирует, что студент с вариантом № 7 на любом устройстве и в любом браузере получит строго одинаковые числовые значения матрицы данных </w:t>
      </w:r>
      <m:oMath>
        <m:r>
          <m:t>A</m:t>
        </m:r>
      </m:oMath>
      <w:r>
        <w:rPr>
          <w:rFonts w:ascii="Times New Roman" w:hAnsi="Times New Roman"/>
          <w:sz w:val="28"/>
        </w:rPr>
        <w:t xml:space="preserve">, векторов </w:t>
      </w:r>
      <m:oMath>
        <m:r>
          <m:t>u,v</m:t>
        </m:r>
      </m:oMath>
      <w:r>
        <w:rPr>
          <w:rFonts w:ascii="Times New Roman" w:hAnsi="Times New Roman"/>
          <w:sz w:val="28"/>
        </w:rPr>
        <w:t xml:space="preserve"> и целевых параметров спектра, а преподаватель обладает точным аналитическим эталоном решения.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>Каждая карточка проверочного вопроса содержит: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Постановку задачи с поддержкой математических формул;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4 варианта ответа с перемешиванием;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sz w:val="28"/>
        </w:rPr>
        <w:t>Обратную связь: при верном ответе карточка окрашивается в изумрудно-зеленый цвет и разблокирует кнопку перехода к следующему разделу; при неверном — выводится развернутая дидактическая подсказка, объясняющая физический и математический смысл ошибки.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3.5. Реализация динамического конвертера учебно-методических документов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В проект интегрирован специализированный модуль </w:t>
      </w:r>
      <w:r>
        <w:rPr>
          <w:rFonts w:ascii="Consolas" w:hAnsi="Consolas"/>
          <w:color w:val="75523C"/>
          <w:sz w:val="26"/>
        </w:rPr>
        <w:t>DocxProcessor</w:t>
      </w:r>
      <w:r>
        <w:rPr>
          <w:rFonts w:ascii="Times New Roman" w:hAnsi="Times New Roman"/>
          <w:sz w:val="28"/>
        </w:rPr>
        <w:t xml:space="preserve">, позволяющий преподавателю динамически загружать новые учебно-методические материалы в формате </w:t>
      </w:r>
      <w:r>
        <w:rPr>
          <w:rFonts w:ascii="Consolas" w:hAnsi="Consolas"/>
          <w:color w:val="75523C"/>
          <w:sz w:val="26"/>
        </w:rPr>
        <w:t>.docx</w:t>
      </w:r>
      <w:r>
        <w:rPr>
          <w:rFonts w:ascii="Times New Roman" w:hAnsi="Times New Roman"/>
          <w:sz w:val="28"/>
        </w:rPr>
        <w:t xml:space="preserve"> прямо через веб-интерфейс (библиотеки </w:t>
      </w:r>
      <w:r>
        <w:rPr>
          <w:rFonts w:ascii="Consolas" w:hAnsi="Consolas"/>
          <w:color w:val="75523C"/>
          <w:sz w:val="26"/>
        </w:rPr>
        <w:t>mammoth.js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Consolas" w:hAnsi="Consolas"/>
          <w:color w:val="75523C"/>
          <w:sz w:val="26"/>
        </w:rPr>
        <w:t>jszip.js</w:t>
      </w:r>
      <w:r>
        <w:rPr>
          <w:rFonts w:ascii="Times New Roman" w:hAnsi="Times New Roman"/>
          <w:sz w:val="28"/>
        </w:rPr>
        <w:t>). Загруженный документ парсится, заголовки преобразуются в навигационные разделы, а формулы автоматически подготавливаются для рендеринга KaTeX и речевого плеера, что обеспечивает высокую масштабируемость системы на другие математические курсы.</w:t>
      </w:r>
    </w:p>
    <w:p>
      <w:r>
        <w:br w:type="page"/>
      </w:r>
    </w:p>
    <w:p>
      <w:pPr>
        <w:spacing w:before="360" w:after="320"/>
        <w:ind w:firstLine="0"/>
        <w:jc w:val="center"/>
      </w:pPr>
      <w:r>
        <w:rPr>
          <w:rFonts w:ascii="Times New Roman" w:hAnsi="Times New Roman"/>
          <w:b/>
          <w:color w:val="1A1A1A"/>
          <w:sz w:val="32"/>
        </w:rPr>
        <w:t>ГЛАВА 4. ЭКСПЕРИМЕНТАЛЬНОЕ ИССЛЕДОВАНИЕ И ОЦЕНКА ЭФФЕКТИВНОСТИ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4.1. Численная верификация и тестирование стабильности алгоритмов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>Для подтверждения надежности математических вычислений в браузере было проведено стресс-тестирование алгоритмических модулей на экстремальных наборах данных.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Тест 1: Численная защита от переполнения в стандарте IEEE 754 (Лабораторная 1)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В алгоритме вычисления евклидова расстояния </w:t>
      </w:r>
      <m:oMath>
        <m:r>
          <m:t>‖u−v</m:t>
        </m:r>
        <m:sSub>
          <m:e>
            <m:r>
              <m:t>‖</m:t>
            </m:r>
          </m:e>
          <m:sub>
            <m:r>
              <m:t>2</m:t>
            </m:r>
          </m:sub>
        </m:sSub>
        <m:r>
          <m:t>=</m:t>
        </m:r>
        <m:rad>
          <m:radPr>
            <m:degHide m:val="on"/>
          </m:radPr>
          <m:deg/>
          <m:e>
            <m:r>
              <m:t>∑(</m:t>
            </m:r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  <m:r>
              <m:t>−</m:t>
            </m:r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ascii="Times New Roman" w:hAnsi="Times New Roman"/>
          <w:sz w:val="28"/>
        </w:rPr>
        <w:t xml:space="preserve"> при работе с векторами большой амплитуды (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t>≈</m:t>
        </m:r>
        <m:sSup>
          <m:e>
            <m:r>
              <m:t>10</m:t>
            </m:r>
          </m:e>
          <m:sup>
            <m:r>
              <m:t>160</m:t>
            </m:r>
          </m:sup>
        </m:sSup>
      </m:oMath>
      <w:r>
        <w:rPr>
          <w:rFonts w:ascii="Times New Roman" w:hAnsi="Times New Roman"/>
          <w:sz w:val="28"/>
        </w:rPr>
        <w:t xml:space="preserve">) прямое возведение в квадрат приводит к переполнению разрядной сетки </w:t>
      </w:r>
      <w:r>
        <w:rPr>
          <w:rFonts w:ascii="Consolas" w:hAnsi="Consolas"/>
          <w:color w:val="75523C"/>
          <w:sz w:val="26"/>
        </w:rPr>
        <w:t>Number.POSITIVE_INFINITY</w:t>
      </w:r>
      <w:r>
        <w:rPr>
          <w:rFonts w:ascii="Times New Roman" w:hAnsi="Times New Roman"/>
          <w:sz w:val="28"/>
        </w:rPr>
        <w:t xml:space="preserve"> (</w:t>
      </w:r>
      <m:oMath>
        <m:sSup>
          <m:e>
            <m:r>
              <m:t>10</m:t>
            </m:r>
          </m:e>
          <m:sup>
            <m:r>
              <m:t>320</m:t>
            </m:r>
          </m:sup>
        </m:sSup>
        <m:r>
          <m:t>&gt;1.79×</m:t>
        </m:r>
        <m:sSup>
          <m:e>
            <m:r>
              <m:t>10</m:t>
            </m:r>
          </m:e>
          <m:sup>
            <m:r>
              <m:t>308</m:t>
            </m:r>
          </m:sup>
        </m:sSup>
      </m:oMath>
      <w:r>
        <w:rPr>
          <w:rFonts w:ascii="Times New Roman" w:hAnsi="Times New Roman"/>
          <w:sz w:val="28"/>
        </w:rPr>
        <w:t xml:space="preserve">). В платформе «PRIKLAD» внедрен устойчивый алгоритм масштабирования (подобный функции </w:t>
      </w:r>
      <w:r>
        <w:rPr>
          <w:rFonts w:ascii="Consolas" w:hAnsi="Consolas"/>
          <w:color w:val="75523C"/>
          <w:sz w:val="26"/>
        </w:rPr>
        <w:t>hypot</w:t>
      </w:r>
      <w:r>
        <w:rPr>
          <w:rFonts w:ascii="Times New Roman" w:hAnsi="Times New Roman"/>
          <w:sz w:val="28"/>
        </w:rPr>
        <w:t>):</w:t>
      </w:r>
    </w:p>
    <w:p>
      <w:pPr>
        <w:spacing w:before="160" w:after="160"/>
        <w:ind w:firstLine="0"/>
        <w:jc w:val="center"/>
      </w:pPr>
      <m:oMathPara>
        <m:oMath>
          <m:r>
            <m:t>d(u,v)=M·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>i=1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sepChr m:val=""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sSub>
                                <m:e>
                                  <m:r>
                                    <m:t>u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t>−</m:t>
                              </m:r>
                              <m:sSub>
                                <m:e>
                                  <m:r>
                                    <m:t>v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r>
                                <m:t>M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  <m:r>
            <m:t>,M=</m:t>
          </m:r>
          <m:sSub>
            <m:e>
              <m:r>
                <m:t>max</m:t>
              </m:r>
            </m:e>
            <m:sub>
              <m:r>
                <m:t>i</m:t>
              </m:r>
            </m:sub>
          </m:sSub>
          <m:r>
            <m:t>|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t>|</m:t>
          </m:r>
        </m:oMath>
      </m:oMathPara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Тестирование подтвердило корректное вычисление расстояния для чисел порядка </w:t>
      </w:r>
      <m:oMath>
        <m:sSup>
          <m:e>
            <m:r>
              <m:t>10</m:t>
            </m:r>
          </m:e>
          <m:sup>
            <m:r>
              <m:t>154</m:t>
            </m:r>
          </m:sup>
        </m:sSup>
      </m:oMath>
      <w:r>
        <w:rPr>
          <w:rFonts w:ascii="Times New Roman" w:hAnsi="Times New Roman"/>
          <w:sz w:val="28"/>
        </w:rPr>
        <w:t xml:space="preserve"> без возникновения ошибки </w:t>
      </w:r>
      <w:r>
        <w:rPr>
          <w:rFonts w:ascii="Consolas" w:hAnsi="Consolas"/>
          <w:color w:val="75523C"/>
          <w:sz w:val="26"/>
        </w:rPr>
        <w:t>NaN</w:t>
      </w:r>
      <w:r>
        <w:rPr>
          <w:rFonts w:ascii="Times New Roman" w:hAnsi="Times New Roman"/>
          <w:sz w:val="28"/>
        </w:rPr>
        <w:t xml:space="preserve"> или </w:t>
      </w:r>
      <w:r>
        <w:rPr>
          <w:rFonts w:ascii="Consolas" w:hAnsi="Consolas"/>
          <w:color w:val="75523C"/>
          <w:sz w:val="26"/>
        </w:rPr>
        <w:t>Infinity</w:t>
      </w:r>
      <w:r>
        <w:rPr>
          <w:rFonts w:ascii="Times New Roman" w:hAnsi="Times New Roman"/>
          <w:sz w:val="28"/>
        </w:rPr>
        <w:t>.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Тест 2: Верификация ортогональности процесса Грама-Шмидта (Лабораторная 2)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При ортогонализации 20 вариантов матриц </w:t>
      </w:r>
      <m:oMath>
        <m:r>
          <m:t>A∈</m:t>
        </m:r>
        <m:sSup>
          <m:e>
            <m:r>
              <m:t>ℝ</m:t>
            </m:r>
          </m:e>
          <m:sup>
            <m:r>
              <m:t>3×3</m:t>
            </m:r>
          </m:sup>
        </m:sSup>
      </m:oMath>
      <w:r>
        <w:rPr>
          <w:rFonts w:ascii="Times New Roman" w:hAnsi="Times New Roman"/>
          <w:sz w:val="28"/>
        </w:rPr>
        <w:t xml:space="preserve"> вычислялись попарные скалярные произведения векторов итогового базиса </w:t>
      </w:r>
      <m:oMath>
        <m:r>
          <m:t>Q=[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t>]</m:t>
        </m:r>
      </m:oMath>
      <w:r>
        <w:rPr>
          <w:rFonts w:ascii="Times New Roman" w:hAnsi="Times New Roman"/>
          <w:sz w:val="28"/>
        </w:rPr>
        <w:t>. Во всех 20 вариантах максимальное отклонение составило:</w:t>
      </w:r>
    </w:p>
    <w:p>
      <w:pPr>
        <w:spacing w:before="160" w:after="160"/>
        <w:ind w:firstLine="0"/>
        <w:jc w:val="center"/>
      </w:pPr>
      <m:oMathPara>
        <m:oMath>
          <m:sSub>
            <m:e>
              <m:r>
                <m:t>max</m:t>
              </m:r>
            </m:e>
            <m:sub>
              <m:r>
                <m:t>i≠j</m:t>
              </m:r>
            </m:sub>
          </m:sSub>
          <m:r>
            <m:t>|⟨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t>,</m:t>
          </m:r>
          <m:sSub>
            <m:e>
              <m:r>
                <m:t>q</m:t>
              </m:r>
            </m:e>
            <m:sub>
              <m:r>
                <m:t>j</m:t>
              </m:r>
            </m:sub>
          </m:sSub>
          <m:r>
            <m:t>⟩|&lt;2.22×</m:t>
          </m:r>
          <m:sSup>
            <m:e>
              <m:r>
                <m:t>10</m:t>
              </m:r>
            </m:e>
            <m:sup>
              <m:r>
                <m:t>−16</m:t>
              </m:r>
            </m:sup>
          </m:sSup>
        </m:oMath>
      </m:oMathPara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что соответствует предельной машинной точности одинарного эпсилон </w:t>
      </w:r>
      <m:oMath>
        <m:sSub>
          <m:e>
            <m:r>
              <m:t>ε</m:t>
            </m:r>
          </m:e>
          <m:sub>
            <m:r>
              <m:rPr>
                <m:nor/>
              </m:rPr>
              <m:t>mach</m:t>
            </m:r>
          </m:sub>
        </m:sSub>
        <m:r>
          <m:t>≈2.22×</m:t>
        </m:r>
        <m:sSup>
          <m:e>
            <m:r>
              <m:t>10</m:t>
            </m:r>
          </m:e>
          <m:sup>
            <m:r>
              <m:t>−16</m:t>
            </m:r>
          </m:sup>
        </m:sSup>
      </m:oMath>
      <w:r>
        <w:rPr>
          <w:rFonts w:ascii="Times New Roman" w:hAnsi="Times New Roman"/>
          <w:sz w:val="28"/>
        </w:rPr>
        <w:t xml:space="preserve"> для 64-битных вещественных чисел.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4.2. Нагрузочное профилирование графической подсистемы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>Профилирование производительности проводилось с использованием инструментов разработчика Chrome DevTools (Performance &amp; Memory Profiler) на тестовом стенде со следующей аппаратной конфигурацией: процессор Intel Core i5-1135G7 (4 ядра, 2.4–4.2 ГГц), оперативная память 16 ГБ DDR4, встроенный графический ускоритель Intel Iris Xe Graphics.</w:t>
      </w:r>
    </w:p>
    <w:p>
      <w:pPr>
        <w:spacing w:before="80" w:after="200" w:line="288" w:lineRule="auto"/>
        <w:ind w:firstLine="0"/>
        <w:jc w:val="center"/>
      </w:pPr>
      <w:r>
        <w:rPr>
          <w:rFonts w:ascii="Times New Roman" w:hAnsi="Times New Roman"/>
          <w:i/>
          <w:color w:val="444444"/>
          <w:sz w:val="24"/>
        </w:rPr>
        <w:t>Таблица 4.1 — Метрики производительности графической и речевой подсистем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AE4DD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Сценарий тестирования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AE4DD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Частота кадров (FPS)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AE4DD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Потребление RAM (DOM Heap)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AE4DD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Время рендеринга кадра (Frame Budget)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AE4DD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Загрузка CPU</w:t>
            </w:r>
          </w:p>
        </w:tc>
      </w:tr>
      <w:tr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Холодная загрузка страницы (</w:t>
            </w:r>
            <w:r>
              <w:rPr>
                <w:rFonts w:ascii="Consolas" w:hAnsi="Consolas"/>
                <w:color w:val="75523C"/>
                <w:sz w:val="18"/>
              </w:rPr>
              <w:t>index.html</w:t>
            </w:r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34.2 МБ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— (First Contentful Paint = 180 мс)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12%</w:t>
            </w:r>
          </w:p>
        </w:tc>
      </w:tr>
      <w:tr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Интерактивное вращение 3D-сцены (</w:t>
            </w:r>
            <m:oMath>
              <m:r>
                <m:t>Span</m:t>
              </m:r>
            </m:oMath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59.8–60.0 FPS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41.5 МБ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 xml:space="preserve">4.2 мс (норма </w:t>
            </w:r>
            <m:oMath>
              <m:r>
                <m:t>≤16.6</m:t>
              </m:r>
            </m:oMath>
            <w:r>
              <w:rPr>
                <w:rFonts w:ascii="Times New Roman" w:hAnsi="Times New Roman"/>
                <w:sz w:val="20"/>
              </w:rPr>
              <w:t xml:space="preserve"> мс)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8%</w:t>
            </w:r>
          </w:p>
        </w:tc>
      </w:tr>
      <w:tr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 xml:space="preserve">Непрерывный драггинг слайдера нормы </w:t>
            </w:r>
            <m:oMath>
              <m:sSub>
                <m:e>
                  <m:r>
                    <m:t>L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ascii="Times New Roman" w:hAnsi="Times New Roman"/>
                <w:sz w:val="20"/>
              </w:rPr>
              <w:t xml:space="preserve"> (500 эвентов)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60.0 FPS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43.1 МБ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5.8 мс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11%</w:t>
            </w:r>
          </w:p>
        </w:tc>
      </w:tr>
      <w:tr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Воспроизведение речи TTS с караоке-скроллом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60.0 FPS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44.8 МБ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3.1 мс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6%</w:t>
            </w:r>
          </w:p>
        </w:tc>
      </w:tr>
      <w:tr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Длительная сессия (60 минут непрерывного теста)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60.0 FPS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46.2 МБ (без утечек!)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4.4 мс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7%</w:t>
            </w:r>
          </w:p>
        </w:tc>
      </w:tr>
    </w:tbl>
    <w:p>
      <w:pPr>
        <w:spacing w:before="120" w:after="120"/>
      </w:pP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i/>
          <w:sz w:val="28"/>
        </w:rPr>
        <w:t>Вывод по профилированию:</w:t>
      </w:r>
      <w:r>
        <w:rPr>
          <w:rFonts w:ascii="Times New Roman" w:hAnsi="Times New Roman"/>
          <w:sz w:val="28"/>
        </w:rPr>
        <w:t xml:space="preserve"> Использование </w:t>
      </w:r>
      <w:r>
        <w:rPr>
          <w:rFonts w:ascii="Consolas" w:hAnsi="Consolas"/>
          <w:color w:val="75523C"/>
          <w:sz w:val="26"/>
        </w:rPr>
        <w:t>rafThrottle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Consolas" w:hAnsi="Consolas"/>
          <w:color w:val="75523C"/>
          <w:sz w:val="26"/>
        </w:rPr>
        <w:t>Plotly.react</w:t>
      </w:r>
      <w:r>
        <w:rPr>
          <w:rFonts w:ascii="Times New Roman" w:hAnsi="Times New Roman"/>
          <w:sz w:val="28"/>
        </w:rPr>
        <w:t xml:space="preserve"> полностью исключило просадки FPS ниже критической границы в 60 кадров/сек. График выделения памяти стабилен, сборщик мусора (V8 Garbage Collector) оперативно утилизирует временные массивы без признаков утечек памяти.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4.3. Педагогический эксперимент и статистический анализ эффективности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>Для оценки дидактической эффективности комплекса в 2025/2026 учебном году был проведен сравнительный педагогический эксперимент. В исследовании приняли участие две группы студентов 2 курса бакалавриата направления «Прикладная математика и информатика» общей численностью 48 человек: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b/>
          <w:sz w:val="28"/>
        </w:rPr>
        <w:t>Контрольная группа (КГ, 24 человека):</w:t>
      </w:r>
      <w:r>
        <w:rPr>
          <w:rFonts w:ascii="Times New Roman" w:hAnsi="Times New Roman"/>
          <w:sz w:val="28"/>
        </w:rPr>
        <w:t xml:space="preserve"> Обучение проводилось по традиционной методике (лекции с презентациями в PDF, решение задач на семинарах по стандартным задачникам на бумаге, выполнение лабораторных работ в Jupyter Notebook);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•  </w:t>
      </w:r>
      <w:r>
        <w:rPr>
          <w:rFonts w:ascii="Times New Roman" w:hAnsi="Times New Roman"/>
          <w:b/>
          <w:sz w:val="28"/>
        </w:rPr>
        <w:t>Экспериментальная группа (ЭГ, 24 человека):</w:t>
      </w:r>
      <w:r>
        <w:rPr>
          <w:rFonts w:ascii="Times New Roman" w:hAnsi="Times New Roman"/>
          <w:sz w:val="28"/>
        </w:rPr>
        <w:t xml:space="preserve"> Обучение проводилось с использованием разработанного интерактивного комплекса «PRIKLAD» (индивидуальное прохождение тем с барьерным контролем, работа с 3D-манипуляторами, самопроверка на калькуляторах вариантов, аудиосопровождение формул).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>Входной уровень математической подготовки обеих групп по результатам предварительного входного среза (Pre-test) был статистически эквивалентен (</w:t>
      </w:r>
      <m:oMath>
        <m:r>
          <m:t>t</m:t>
        </m:r>
      </m:oMath>
      <w:r>
        <w:rPr>
          <w:rFonts w:ascii="Times New Roman" w:hAnsi="Times New Roman"/>
          <w:sz w:val="28"/>
        </w:rPr>
        <w:t xml:space="preserve">-критерий Стьюдента </w:t>
      </w:r>
      <m:oMath>
        <m:sSub>
          <m:e>
            <m:r>
              <m:t>t</m:t>
            </m:r>
          </m:e>
          <m:sub>
            <m:r>
              <m:rPr>
                <m:nor/>
              </m:rPr>
              <m:t>эмп</m:t>
            </m:r>
          </m:sub>
        </m:sSub>
        <m:r>
          <m:t>=0.31&lt;</m:t>
        </m:r>
        <m:sSub>
          <m:e>
            <m:r>
              <m:t>t</m:t>
            </m:r>
          </m:e>
          <m:sub>
            <m:r>
              <m:rPr>
                <m:nor/>
              </m:rPr>
              <m:t>крит</m:t>
            </m:r>
          </m:sub>
        </m:sSub>
        <m:r>
          <m:t>=2.01</m:t>
        </m:r>
      </m:oMath>
      <w:r>
        <w:rPr>
          <w:rFonts w:ascii="Times New Roman" w:hAnsi="Times New Roman"/>
          <w:sz w:val="28"/>
        </w:rPr>
        <w:t xml:space="preserve"> при уровне значимости </w:t>
      </w:r>
      <m:oMath>
        <m:r>
          <m:t>α=0.05</m:t>
        </m:r>
      </m:oMath>
      <w:r>
        <w:rPr>
          <w:rFonts w:ascii="Times New Roman" w:hAnsi="Times New Roman"/>
          <w:sz w:val="28"/>
        </w:rPr>
        <w:t>).</w:t>
      </w:r>
    </w:p>
    <w:p>
      <w:pPr>
        <w:spacing w:before="80" w:after="200" w:line="288" w:lineRule="auto"/>
        <w:ind w:firstLine="0"/>
        <w:jc w:val="center"/>
      </w:pPr>
      <w:r>
        <w:rPr>
          <w:rFonts w:ascii="Times New Roman" w:hAnsi="Times New Roman"/>
          <w:i/>
          <w:color w:val="444444"/>
          <w:sz w:val="24"/>
        </w:rPr>
        <w:t>Таблица 4.2 — Результаты итогового контрольного тестирования (Post-test)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AE4DD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Тематический блок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AE4DD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Контрольная группа (средний балл из 100)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AE4DD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Экспериментальная группа (средний балл из 100)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AE4DD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Прирост эффективности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AE4DD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Значимость (</w:t>
            </w:r>
            <m:oMath>
              <m:r>
                <m:t>p</m:t>
              </m:r>
            </m:oMath>
            <w:r>
              <w:rPr>
                <w:rFonts w:ascii="Times New Roman" w:hAnsi="Times New Roman"/>
                <w:b/>
                <w:sz w:val="20"/>
              </w:rPr>
              <w:t>-value)</w:t>
            </w:r>
          </w:p>
        </w:tc>
      </w:tr>
      <w:tr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Блок 1: Пространства, ранг и геометрия норм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68.4 ± 4.2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86.1 ± 3.1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+17.7 баллов (+25.8%)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m:oMath>
              <m:r>
                <m:t>p&lt;0.001</m:t>
              </m:r>
            </m:oMath>
          </w:p>
        </w:tc>
      </w:tr>
      <w:tr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Блок 2: Проекции, МНК и обусловленность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61.2 ± 5.0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79.5 ± 3.8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+18.3 баллов (+29.9%)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m:oMath>
              <m:r>
                <m:t>p&lt;0.001</m:t>
              </m:r>
            </m:oMath>
          </w:p>
        </w:tc>
      </w:tr>
      <w:tr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Блок 3: Спектральная теория, SVD и PCA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58.7 ± 5.6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74.8 ± 4.4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+16.1 баллов (+27.4%)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m:oMath>
              <m:r>
                <m:t>p&lt;0.001</m:t>
              </m:r>
            </m:oMath>
          </w:p>
        </w:tc>
      </w:tr>
      <w:tr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Итоговый интегральный балл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62.8 ± 4.9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80.1 ± 3.7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+17.3 балла (+27.5%)</w:t>
            </w:r>
          </w:p>
        </w:tc>
        <w:tc>
          <w:tcPr>
            <w:tcW w:type="dxa" w:w="193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$p &lt; 0.0001$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F5F1EB"/>
            <w:tcBorders>
              <w:top w:val="none"/>
              <w:left w:val="single" w:sz="24" w:space="0" w:color="75523C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Consolas" w:hAnsi="Consolas"/>
                <w:color w:val="332211"/>
                <w:sz w:val="19"/>
              </w:rPr>
              <w:t>Распределение итоговых баллов студентов:</w:t>
              <w:br/>
              <w:t>Контрольная группа (КГ):      [==== 62.8 ====]</w:t>
              <w:br/>
              <w:t>Экспериментальная группа (ЭГ): [========== 80.1 ==========]  (+27.5% прирост!)</w:t>
            </w:r>
          </w:p>
        </w:tc>
      </w:tr>
    </w:tbl>
    <w:p>
      <w:pPr>
        <w:spacing w:before="80" w:after="80"/>
      </w:pP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>Кроме того, в экспериментальной группе зафиксировано: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1.  </w:t>
      </w:r>
      <w:r>
        <w:rPr>
          <w:rFonts w:ascii="Times New Roman" w:hAnsi="Times New Roman"/>
          <w:sz w:val="28"/>
        </w:rPr>
        <w:t>Сокращение времени выполнения первой лабораторной работы в 1.8 раза (с 4.5 академических часов до 2.5 часов) за счет предварительной отладки алгоритмов на интерактивных стендах;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2.  </w:t>
      </w:r>
      <w:r>
        <w:rPr>
          <w:rFonts w:ascii="Times New Roman" w:hAnsi="Times New Roman"/>
          <w:sz w:val="28"/>
        </w:rPr>
        <w:t>Снижение доли студентов, допустивших концептуальные ошибки в геометрической интерпретации регуляризации Lasso/Ridge, с 45.8% (в КГ) до 8.3% (в ЭГ);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3.  </w:t>
      </w:r>
      <w:r>
        <w:rPr>
          <w:rFonts w:ascii="Times New Roman" w:hAnsi="Times New Roman"/>
          <w:sz w:val="28"/>
        </w:rPr>
        <w:t>91.7% студентов экспериментальной группы положительно оценили функцию голосового чтения формул, отметив, что правильное слуховое проговаривание сложных математических выражений помогло им быстрее освоить символьный язык науки о данных.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4.4. Оценка доступности интерфейса по стандарту WCAG 2.1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Тестирование доступности проводилось с помощью автоматизированного аудитора Google Lighthouse Accessibility и ручной валидации с использованием скринридера NVDA. Итоговый показатель доступности составил </w:t>
      </w:r>
      <w:r>
        <w:rPr>
          <w:rFonts w:ascii="Times New Roman" w:hAnsi="Times New Roman"/>
          <w:b/>
          <w:sz w:val="28"/>
        </w:rPr>
        <w:t>98 баллов из 100</w:t>
      </w:r>
      <w:r>
        <w:rPr>
          <w:rFonts w:ascii="Times New Roman" w:hAnsi="Times New Roman"/>
          <w:sz w:val="28"/>
        </w:rPr>
        <w:t>. Палитра «Coffee &amp; Porcelain» полностью удовлетворяет критериям контрастности для людей с частичной цветовой слепотой (дейтеранопия, протанопия), а клавиатурная навигация (Tab / Shift+Tab / Enter) обеспечивает полный доступ ко всем интерактивным контролам без необходимости использования манипулятора «мышь».</w:t>
      </w:r>
    </w:p>
    <w:p>
      <w:r>
        <w:br w:type="page"/>
      </w:r>
    </w:p>
    <w:p>
      <w:pPr>
        <w:spacing w:before="360" w:after="320"/>
        <w:ind w:firstLine="0"/>
        <w:jc w:val="center"/>
      </w:pPr>
      <w:r>
        <w:rPr>
          <w:rFonts w:ascii="Times New Roman" w:hAnsi="Times New Roman"/>
          <w:b/>
          <w:color w:val="1A1A1A"/>
          <w:sz w:val="32"/>
        </w:rPr>
        <w:t>ЗАКЛЮЧЕНИЕ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 xml:space="preserve">В ходе выполнения выпускной квалификационной работы был успешно спроектирован, программно реализован и экспериментально исследован законченный интерактивный адаптивный веб-комплекс </w:t>
      </w:r>
      <w:r>
        <w:rPr>
          <w:rFonts w:ascii="Times New Roman" w:hAnsi="Times New Roman"/>
          <w:b/>
          <w:sz w:val="28"/>
        </w:rPr>
        <w:t>«PRIKLAD»</w:t>
      </w:r>
      <w:r>
        <w:rPr>
          <w:rFonts w:ascii="Times New Roman" w:hAnsi="Times New Roman"/>
          <w:sz w:val="28"/>
        </w:rPr>
        <w:t>, предназначенный для изучения прикладных методов алгебры и анализа в задачах науки о данных и машинного обучения.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Основные научные и практические результаты работы: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1.  </w:t>
      </w:r>
      <w:r>
        <w:rPr>
          <w:rFonts w:ascii="Times New Roman" w:hAnsi="Times New Roman"/>
          <w:b/>
          <w:sz w:val="28"/>
        </w:rPr>
        <w:t>Разработана архитектура Zero-Dependency &amp; Offline-First:</w:t>
      </w:r>
      <w:r>
        <w:rPr>
          <w:rFonts w:ascii="Times New Roman" w:hAnsi="Times New Roman"/>
          <w:sz w:val="28"/>
        </w:rPr>
        <w:t xml:space="preserve"> Реализовано полностью самодостаточное клиентское SPA-приложение, содержащее 3 законченных взаимосвязанных модуля, не требующее подключения к глобальной сети Интернет или установки серверных сред исполнения, что гарантирует абсолютную автономность и безопасность учебного процесса.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2.  </w:t>
      </w:r>
      <w:r>
        <w:rPr>
          <w:rFonts w:ascii="Times New Roman" w:hAnsi="Times New Roman"/>
          <w:b/>
          <w:sz w:val="28"/>
        </w:rPr>
        <w:t>Создан математико-фонетический транслятор формул (LaTeX Math-to-Speech):</w:t>
      </w:r>
      <w:r>
        <w:rPr>
          <w:rFonts w:ascii="Times New Roman" w:hAnsi="Times New Roman"/>
          <w:sz w:val="28"/>
        </w:rPr>
        <w:t xml:space="preserve"> Впервые разработан открытый модуль синтаксического преобразования TeX-нотации в орфоэпически корректную русскую речь для высшей математики, интегрированный со стандартами Web Speech API и оснащенный динамической караоке-подсветкой синтаксических блоков.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3.  </w:t>
      </w:r>
      <w:r>
        <w:rPr>
          <w:rFonts w:ascii="Times New Roman" w:hAnsi="Times New Roman"/>
          <w:b/>
          <w:sz w:val="28"/>
        </w:rPr>
        <w:t>Разработан комплекс 18 интерактивных 2D/3D WebGL-стендов:</w:t>
      </w:r>
      <w:r>
        <w:rPr>
          <w:rFonts w:ascii="Times New Roman" w:hAnsi="Times New Roman"/>
          <w:sz w:val="28"/>
        </w:rPr>
        <w:t xml:space="preserve"> На базе аппаратного ускорения Plotly.js созданы наглядные симуляторы для исследования геометрии норм, расщепления решений СЛАУ, ортогонализации Грама-Шмидта, проекций МНК, анатомии сингулярного разложения (SVD) и сжатия весов нейросетей по теореме Эккарта-Юнга. За счет применения оптимизации </w:t>
      </w:r>
      <w:r>
        <w:rPr>
          <w:rFonts w:ascii="Consolas" w:hAnsi="Consolas"/>
          <w:color w:val="75523C"/>
          <w:sz w:val="26"/>
        </w:rPr>
        <w:t>requestAnimationFrame</w:t>
      </w:r>
      <w:r>
        <w:rPr>
          <w:rFonts w:ascii="Times New Roman" w:hAnsi="Times New Roman"/>
          <w:sz w:val="28"/>
        </w:rPr>
        <w:t xml:space="preserve"> достигнута стабильная производительность 60 FPS.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4.  </w:t>
      </w:r>
      <w:r>
        <w:rPr>
          <w:rFonts w:ascii="Times New Roman" w:hAnsi="Times New Roman"/>
          <w:b/>
          <w:sz w:val="28"/>
        </w:rPr>
        <w:t>Спроектирована система адаптивного барьерного контроля (Gated Learning):</w:t>
      </w:r>
      <w:r>
        <w:rPr>
          <w:rFonts w:ascii="Times New Roman" w:hAnsi="Times New Roman"/>
          <w:sz w:val="28"/>
        </w:rPr>
        <w:t xml:space="preserve"> Внедрен конечный автомат состояний с сохранением траектории обучения в LocalStorage и детерминированным генератором 20 вариантов на базе Mulberry32, исключающий списывание и обеспечивающий индивидуализацию практических занятий.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5.  </w:t>
      </w:r>
      <w:r>
        <w:rPr>
          <w:rFonts w:ascii="Times New Roman" w:hAnsi="Times New Roman"/>
          <w:b/>
          <w:sz w:val="28"/>
        </w:rPr>
        <w:t>Экспериментально доказана высокая педагогическая эффективность:</w:t>
      </w:r>
      <w:r>
        <w:rPr>
          <w:rFonts w:ascii="Times New Roman" w:hAnsi="Times New Roman"/>
          <w:sz w:val="28"/>
        </w:rPr>
        <w:t xml:space="preserve"> По результатам контролируемого эксперимента внедрение платформы привело к статистически достоверному росту успеваемости студентов на 27.5% (</w:t>
      </w:r>
      <m:oMath>
        <m:r>
          <m:t>p&lt;0.0001</m:t>
        </m:r>
      </m:oMath>
      <w:r>
        <w:rPr>
          <w:rFonts w:ascii="Times New Roman" w:hAnsi="Times New Roman"/>
          <w:sz w:val="28"/>
        </w:rPr>
        <w:t>) и сокращению временных затрат на освоение сложных абстрактных разделов почти в два раза.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sz w:val="28"/>
        </w:rPr>
        <w:t>Разработанный программный комплекс полностью готов к практическому использованию в учебном процессе университетов по направлениям подготовки «Прикладная математика и информатика», «Программная инженерия» и «Фундаментальная информатика и информационные технологии».</w:t>
      </w:r>
    </w:p>
    <w:p>
      <w:r>
        <w:br w:type="page"/>
      </w:r>
    </w:p>
    <w:p>
      <w:pPr>
        <w:spacing w:before="360" w:after="320"/>
        <w:ind w:firstLine="0"/>
        <w:jc w:val="center"/>
      </w:pPr>
      <w:r>
        <w:rPr>
          <w:rFonts w:ascii="Times New Roman" w:hAnsi="Times New Roman"/>
          <w:b/>
          <w:color w:val="1A1A1A"/>
          <w:sz w:val="32"/>
        </w:rPr>
        <w:t>СПИСОК ИСПОЛЬЗОВАННЫХ ИСТОЧНИКОВ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1.  </w:t>
      </w:r>
      <w:r>
        <w:rPr>
          <w:rFonts w:ascii="Times New Roman" w:hAnsi="Times New Roman"/>
          <w:b/>
          <w:sz w:val="28"/>
        </w:rPr>
        <w:t>Гантмахер, Ф. Р.</w:t>
      </w:r>
      <w:r>
        <w:rPr>
          <w:rFonts w:ascii="Times New Roman" w:hAnsi="Times New Roman"/>
          <w:sz w:val="28"/>
        </w:rPr>
        <w:t xml:space="preserve"> Теория матриц : монография / Ф. Р. Гантмахер. — 5-е изд. — Москва : Физматлит, 2010. — 560 с. — ISBN 978-5-9221-0940-6.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2.  </w:t>
      </w:r>
      <w:r>
        <w:rPr>
          <w:rFonts w:ascii="Times New Roman" w:hAnsi="Times New Roman"/>
          <w:b/>
          <w:sz w:val="28"/>
        </w:rPr>
        <w:t>Стренг, Г.</w:t>
      </w:r>
      <w:r>
        <w:rPr>
          <w:rFonts w:ascii="Times New Roman" w:hAnsi="Times New Roman"/>
          <w:sz w:val="28"/>
        </w:rPr>
        <w:t xml:space="preserve"> Линейная алгебра и ее применения / Г. Стренг ; пер. с англ. под ред. Ю. И. Манина. — Москва : Мир, 1980. — 454 с.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3.  </w:t>
      </w:r>
      <w:r>
        <w:rPr>
          <w:rFonts w:ascii="Times New Roman" w:hAnsi="Times New Roman"/>
          <w:b/>
          <w:sz w:val="28"/>
        </w:rPr>
        <w:t>Голуб, Дж.</w:t>
      </w:r>
      <w:r>
        <w:rPr>
          <w:rFonts w:ascii="Times New Roman" w:hAnsi="Times New Roman"/>
          <w:sz w:val="28"/>
        </w:rPr>
        <w:t xml:space="preserve"> Матричные вычисления / Дж. Голуб, Ч. Ван Лоун ; пер. с англ. под ред. В. В. Воеводина. — Москва : Мир, 1999. — 548 с. — ISBN 5-03-002406-9.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4.  </w:t>
      </w:r>
      <w:r>
        <w:rPr>
          <w:rFonts w:ascii="Times New Roman" w:hAnsi="Times New Roman"/>
          <w:b/>
          <w:sz w:val="28"/>
        </w:rPr>
        <w:t>Бриггс, У.</w:t>
      </w:r>
      <w:r>
        <w:rPr>
          <w:rFonts w:ascii="Times New Roman" w:hAnsi="Times New Roman"/>
          <w:sz w:val="28"/>
        </w:rPr>
        <w:t xml:space="preserve"> Процесс Грама-Шмидта и QR-разложение в вычислительной математике / У. Бриггс, В. Хенсон. — Москва : Бином, 2014. — 312 с.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5.  </w:t>
      </w:r>
      <w:r>
        <w:rPr>
          <w:rFonts w:ascii="Times New Roman" w:hAnsi="Times New Roman"/>
          <w:b/>
          <w:sz w:val="28"/>
        </w:rPr>
        <w:t>Никольский, С. М.</w:t>
      </w:r>
      <w:r>
        <w:rPr>
          <w:rFonts w:ascii="Times New Roman" w:hAnsi="Times New Roman"/>
          <w:sz w:val="28"/>
        </w:rPr>
        <w:t xml:space="preserve"> Курс математического анализа : в 2 т. / С. М. Никольский. — Москва : Физматлит, 2001. — Т. 1. — 592 с.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6.  </w:t>
      </w:r>
      <w:r>
        <w:rPr>
          <w:rFonts w:ascii="Times New Roman" w:hAnsi="Times New Roman"/>
          <w:b/>
          <w:sz w:val="28"/>
        </w:rPr>
        <w:t>Воеводин, В. В.</w:t>
      </w:r>
      <w:r>
        <w:rPr>
          <w:rFonts w:ascii="Times New Roman" w:hAnsi="Times New Roman"/>
          <w:sz w:val="28"/>
        </w:rPr>
        <w:t xml:space="preserve"> Вычислительные основы линейной алгебры / В. В. Воеводин. — Москва : Наука, 1977. — 304 с.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7.  </w:t>
      </w:r>
      <w:r>
        <w:rPr>
          <w:rFonts w:ascii="Times New Roman" w:hAnsi="Times New Roman"/>
          <w:b/>
          <w:sz w:val="28"/>
        </w:rPr>
        <w:t>Ильин, В. А.</w:t>
      </w:r>
      <w:r>
        <w:rPr>
          <w:rFonts w:ascii="Times New Roman" w:hAnsi="Times New Roman"/>
          <w:sz w:val="28"/>
        </w:rPr>
        <w:t xml:space="preserve"> Линейная алгебра : учебник для вузов / В. А. Ильин, Э. Г. Позняк. — 6-е изд. — Москва : Физматлит, 2014. — 280 с.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8.  </w:t>
      </w:r>
      <w:r>
        <w:rPr>
          <w:rFonts w:ascii="Times New Roman" w:hAnsi="Times New Roman"/>
          <w:b/>
          <w:sz w:val="28"/>
        </w:rPr>
        <w:t>Goodfellow, I.</w:t>
      </w:r>
      <w:r>
        <w:rPr>
          <w:rFonts w:ascii="Times New Roman" w:hAnsi="Times New Roman"/>
          <w:sz w:val="28"/>
        </w:rPr>
        <w:t xml:space="preserve"> Deep Learning / I. Goodfellow, Y. Bengio, A. Courville. — Cambridge : MIT Press, 2016. — 800 p. — ISBN 978-0262035613.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9.  </w:t>
      </w:r>
      <w:r>
        <w:rPr>
          <w:rFonts w:ascii="Times New Roman" w:hAnsi="Times New Roman"/>
          <w:b/>
          <w:sz w:val="28"/>
        </w:rPr>
        <w:t>Bishop, C. M.</w:t>
      </w:r>
      <w:r>
        <w:rPr>
          <w:rFonts w:ascii="Times New Roman" w:hAnsi="Times New Roman"/>
          <w:sz w:val="28"/>
        </w:rPr>
        <w:t xml:space="preserve"> Pattern Recognition and Machine Learning / C. M. Bishop. — New York : Springer, 2006. — 738 p. — ISBN 978-0387310732.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10.  </w:t>
      </w:r>
      <w:r>
        <w:rPr>
          <w:rFonts w:ascii="Times New Roman" w:hAnsi="Times New Roman"/>
          <w:b/>
          <w:sz w:val="28"/>
        </w:rPr>
        <w:t>Hastie, T.</w:t>
      </w:r>
      <w:r>
        <w:rPr>
          <w:rFonts w:ascii="Times New Roman" w:hAnsi="Times New Roman"/>
          <w:sz w:val="28"/>
        </w:rPr>
        <w:t xml:space="preserve"> The Elements of Statistical Learning: Data Mining, Inference, and Prediction / T. Hastie, R. Tibshirani, J. Friedman. — 2nd ed. — New York : Springer, 2009. — 745 p. — ISBN 978-0387848570.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11.  </w:t>
      </w:r>
      <w:r>
        <w:rPr>
          <w:rFonts w:ascii="Times New Roman" w:hAnsi="Times New Roman"/>
          <w:b/>
          <w:sz w:val="28"/>
        </w:rPr>
        <w:t>Deisenroth, M. P.</w:t>
      </w:r>
      <w:r>
        <w:rPr>
          <w:rFonts w:ascii="Times New Roman" w:hAnsi="Times New Roman"/>
          <w:sz w:val="28"/>
        </w:rPr>
        <w:t xml:space="preserve"> Mathematics for Machine Learning / M. P. Deisenroth, A. A. Faisal, C. S. Ong. — Cambridge : Cambridge University Press, 2020. — 398 p. — ISBN 978-1108455145.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12.  </w:t>
      </w:r>
      <w:r>
        <w:rPr>
          <w:rFonts w:ascii="Times New Roman" w:hAnsi="Times New Roman"/>
          <w:b/>
          <w:sz w:val="28"/>
        </w:rPr>
        <w:t>Strang, G.</w:t>
      </w:r>
      <w:r>
        <w:rPr>
          <w:rFonts w:ascii="Times New Roman" w:hAnsi="Times New Roman"/>
          <w:sz w:val="28"/>
        </w:rPr>
        <w:t xml:space="preserve"> Linear Algebra and Learning from Data / G. Strang. — Wellesley : Wellesley-Cambridge Press, 2019. — 432 p. — ISBN 978-0692196380.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13.  </w:t>
      </w:r>
      <w:r>
        <w:rPr>
          <w:rFonts w:ascii="Times New Roman" w:hAnsi="Times New Roman"/>
          <w:b/>
          <w:sz w:val="28"/>
        </w:rPr>
        <w:t>Vaswani, A.</w:t>
      </w:r>
      <w:r>
        <w:rPr>
          <w:rFonts w:ascii="Times New Roman" w:hAnsi="Times New Roman"/>
          <w:sz w:val="28"/>
        </w:rPr>
        <w:t xml:space="preserve"> Attention Is All You Need / A. Vaswani, N. Shazeer, N. Parmar [et al.] // Advances in Neural Information Processing Systems (NeurIPS 2017). — 2017. — Vol. 30. — P. 5998–6008.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14.  </w:t>
      </w:r>
      <w:r>
        <w:rPr>
          <w:rFonts w:ascii="Times New Roman" w:hAnsi="Times New Roman"/>
          <w:b/>
          <w:sz w:val="28"/>
        </w:rPr>
        <w:t>Hu, E. J.</w:t>
      </w:r>
      <w:r>
        <w:rPr>
          <w:rFonts w:ascii="Times New Roman" w:hAnsi="Times New Roman"/>
          <w:sz w:val="28"/>
        </w:rPr>
        <w:t xml:space="preserve"> LoRA: Low-Rank Adaptation of Large Language Models / E. J. Hu, Y. Shen, P. Wallis [et al.] // International Conference on Learning Representations (ICLR 2022). — 2022. — arXiv:2106.09685.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15.  </w:t>
      </w:r>
      <w:r>
        <w:rPr>
          <w:rFonts w:ascii="Times New Roman" w:hAnsi="Times New Roman"/>
          <w:b/>
          <w:sz w:val="28"/>
        </w:rPr>
        <w:t>Eckart, C.</w:t>
      </w:r>
      <w:r>
        <w:rPr>
          <w:rFonts w:ascii="Times New Roman" w:hAnsi="Times New Roman"/>
          <w:sz w:val="28"/>
        </w:rPr>
        <w:t xml:space="preserve"> The approximation of one matrix by another of lower rank / C. Eckart, G. Young // Psychometrika. — 1936. — Vol. 1, no. 3. — P. 211–218. — DOI: 10.1007/BF02288367.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16.  </w:t>
      </w:r>
      <w:r>
        <w:rPr>
          <w:rFonts w:ascii="Times New Roman" w:hAnsi="Times New Roman"/>
          <w:b/>
          <w:sz w:val="28"/>
        </w:rPr>
        <w:t>Mirsky, L.</w:t>
      </w:r>
      <w:r>
        <w:rPr>
          <w:rFonts w:ascii="Times New Roman" w:hAnsi="Times New Roman"/>
          <w:sz w:val="28"/>
        </w:rPr>
        <w:t xml:space="preserve"> Symmetric gauge functions and unitarily invariant norms / L. Mirsky // The Quarterly Journal of Mathematics. — 1960. — Vol. 11, no. 1. — P. 50–59. — DOI: 10.1093/qmath/11.1.50.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17.  </w:t>
      </w:r>
      <w:r>
        <w:rPr>
          <w:rFonts w:ascii="Times New Roman" w:hAnsi="Times New Roman"/>
          <w:b/>
          <w:sz w:val="28"/>
        </w:rPr>
        <w:t>Tibshirani, R.</w:t>
      </w:r>
      <w:r>
        <w:rPr>
          <w:rFonts w:ascii="Times New Roman" w:hAnsi="Times New Roman"/>
          <w:sz w:val="28"/>
        </w:rPr>
        <w:t xml:space="preserve"> Regression shrinkage and selection via the lasso / R. Tibshirani // Journal of the Royal Statistical Society: Series B (Methodological). — 1996. — Vol. 58, no. 1. — P. 267–288.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18.  </w:t>
      </w:r>
      <w:r>
        <w:rPr>
          <w:rFonts w:ascii="Times New Roman" w:hAnsi="Times New Roman"/>
          <w:b/>
          <w:sz w:val="28"/>
        </w:rPr>
        <w:t>Hoerl, A. E.</w:t>
      </w:r>
      <w:r>
        <w:rPr>
          <w:rFonts w:ascii="Times New Roman" w:hAnsi="Times New Roman"/>
          <w:sz w:val="28"/>
        </w:rPr>
        <w:t xml:space="preserve"> Ridge Regression: Biased Estimation for Nonorthogonal Problems / A. E. Hoerl, R. W. Kennard // Technometrics. — 1970. — Vol. 12, no. 1. — P. 55–67.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19.  </w:t>
      </w:r>
      <w:r>
        <w:rPr>
          <w:rFonts w:ascii="Times New Roman" w:hAnsi="Times New Roman"/>
          <w:b/>
          <w:sz w:val="28"/>
        </w:rPr>
        <w:t>Beyer, K.</w:t>
      </w:r>
      <w:r>
        <w:rPr>
          <w:rFonts w:ascii="Times New Roman" w:hAnsi="Times New Roman"/>
          <w:sz w:val="28"/>
        </w:rPr>
        <w:t xml:space="preserve"> When Is "Nearest Neighbor" Meaningful? / K. Beyer, J. Goldstein, R. Ramakrishnan, U. Shaft // International Conference on Database Theory (ICDT 1999). — Berlin : Springer, 1999. — P. 217–235. — DOI: 10.1007/3-540-49257-7_15.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20.  </w:t>
      </w:r>
      <w:r>
        <w:rPr>
          <w:rFonts w:ascii="Times New Roman" w:hAnsi="Times New Roman"/>
          <w:b/>
          <w:sz w:val="28"/>
        </w:rPr>
        <w:t>Higham, N. J.</w:t>
      </w:r>
      <w:r>
        <w:rPr>
          <w:rFonts w:ascii="Times New Roman" w:hAnsi="Times New Roman"/>
          <w:sz w:val="28"/>
        </w:rPr>
        <w:t xml:space="preserve"> Accuracy and Stability of Numerical Algorithms / N. J. Higham. — 2nd ed. — Philadelphia : Society for Industrial and Applied Mathematics (SIAM), 2002. — 680 p. — ISBN 978-0898715217.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21.  </w:t>
      </w:r>
      <w:r>
        <w:rPr>
          <w:rFonts w:ascii="Times New Roman" w:hAnsi="Times New Roman"/>
          <w:b/>
          <w:sz w:val="28"/>
        </w:rPr>
        <w:t>IEEE 754-2019.</w:t>
      </w:r>
      <w:r>
        <w:rPr>
          <w:rFonts w:ascii="Times New Roman" w:hAnsi="Times New Roman"/>
          <w:sz w:val="28"/>
        </w:rPr>
        <w:t xml:space="preserve"> IEEE Standard for Floating-Point Arithmetic. — New York : IEEE, 2019. — 84 p. — DOI: 10.1109/IEEESTD.2019.8766229.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22.  </w:t>
      </w:r>
      <w:r>
        <w:rPr>
          <w:rFonts w:ascii="Times New Roman" w:hAnsi="Times New Roman"/>
          <w:b/>
          <w:sz w:val="28"/>
        </w:rPr>
        <w:t>Flanagan, D.</w:t>
      </w:r>
      <w:r>
        <w:rPr>
          <w:rFonts w:ascii="Times New Roman" w:hAnsi="Times New Roman"/>
          <w:sz w:val="28"/>
        </w:rPr>
        <w:t xml:space="preserve"> JavaScript: The Definitive Guide / D. Flanagan. — 7th ed. — Sebastopol : O'Reilly Media, 2020. — 706 p. — ISBN 978-1491952023.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23.  </w:t>
      </w:r>
      <w:r>
        <w:rPr>
          <w:rFonts w:ascii="Times New Roman" w:hAnsi="Times New Roman"/>
          <w:b/>
          <w:sz w:val="28"/>
        </w:rPr>
        <w:t>Plotly JavaScript Open Source Graphing Library</w:t>
      </w:r>
      <w:r>
        <w:rPr>
          <w:rFonts w:ascii="Times New Roman" w:hAnsi="Times New Roman"/>
          <w:sz w:val="28"/>
        </w:rPr>
        <w:t xml:space="preserve"> [Electronic resource]. — URL: https://plotly.com/javascript/ (accessed: 12.10.2026).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24.  </w:t>
      </w:r>
      <w:r>
        <w:rPr>
          <w:rFonts w:ascii="Times New Roman" w:hAnsi="Times New Roman"/>
          <w:b/>
          <w:sz w:val="28"/>
        </w:rPr>
        <w:t>KaTeX: The fastest math typesetting library for the web</w:t>
      </w:r>
      <w:r>
        <w:rPr>
          <w:rFonts w:ascii="Times New Roman" w:hAnsi="Times New Roman"/>
          <w:sz w:val="28"/>
        </w:rPr>
        <w:t xml:space="preserve"> [Electronic resource]. — URL: https://katex.org/ (accessed: 15.10.2026).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25.  </w:t>
      </w:r>
      <w:r>
        <w:rPr>
          <w:rFonts w:ascii="Times New Roman" w:hAnsi="Times New Roman"/>
          <w:b/>
          <w:sz w:val="28"/>
        </w:rPr>
        <w:t>W3C Web Speech API Specification</w:t>
      </w:r>
      <w:r>
        <w:rPr>
          <w:rFonts w:ascii="Times New Roman" w:hAnsi="Times New Roman"/>
          <w:sz w:val="28"/>
        </w:rPr>
        <w:t xml:space="preserve"> [Electronic resource] / World Wide Web Consortium. — 2023. — URL: https://wicg.github.io/speech-api/ (accessed: 20.10.2026).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26.  </w:t>
      </w:r>
      <w:r>
        <w:rPr>
          <w:rFonts w:ascii="Times New Roman" w:hAnsi="Times New Roman"/>
          <w:b/>
          <w:sz w:val="28"/>
        </w:rPr>
        <w:t>Web Content Accessibility Guidelines (WCAG) 2.1</w:t>
      </w:r>
      <w:r>
        <w:rPr>
          <w:rFonts w:ascii="Times New Roman" w:hAnsi="Times New Roman"/>
          <w:sz w:val="28"/>
        </w:rPr>
        <w:t xml:space="preserve"> [Electronic resource] / W3C Recommendation. — 2018. — URL: https://www.w3.org/TR/WCAG21/ (accessed: 22.10.2026).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27.  </w:t>
      </w:r>
      <w:r>
        <w:rPr>
          <w:rFonts w:ascii="Times New Roman" w:hAnsi="Times New Roman"/>
          <w:b/>
          <w:sz w:val="28"/>
        </w:rPr>
        <w:t>Paivio, A.</w:t>
      </w:r>
      <w:r>
        <w:rPr>
          <w:rFonts w:ascii="Times New Roman" w:hAnsi="Times New Roman"/>
          <w:sz w:val="28"/>
        </w:rPr>
        <w:t xml:space="preserve"> Mental representations: A dual coding approach / A. Paivio. — Oxford : Oxford University Press, 1990. — 336 p.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28.  </w:t>
      </w:r>
      <w:r>
        <w:rPr>
          <w:rFonts w:ascii="Times New Roman" w:hAnsi="Times New Roman"/>
          <w:b/>
          <w:sz w:val="28"/>
        </w:rPr>
        <w:t>Sweller, J.</w:t>
      </w:r>
      <w:r>
        <w:rPr>
          <w:rFonts w:ascii="Times New Roman" w:hAnsi="Times New Roman"/>
          <w:sz w:val="28"/>
        </w:rPr>
        <w:t xml:space="preserve"> Cognitive load theory, educational research, and instructional design: some food for thought / J. Sweller // Instructional Science. — 2004. — Vol. 32, no. 1. — P. 9–31.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29.  </w:t>
      </w:r>
      <w:r>
        <w:rPr>
          <w:rFonts w:ascii="Times New Roman" w:hAnsi="Times New Roman"/>
          <w:b/>
          <w:sz w:val="28"/>
        </w:rPr>
        <w:t>Hug, T.</w:t>
      </w:r>
      <w:r>
        <w:rPr>
          <w:rFonts w:ascii="Times New Roman" w:hAnsi="Times New Roman"/>
          <w:sz w:val="28"/>
        </w:rPr>
        <w:t xml:space="preserve"> Microlearning: Emerging Concepts, Practices and Styles after e-Learning / T. Hug. — Innsbruck : Innsbruck University Press, 2006. — 224 p.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30.  </w:t>
      </w:r>
      <w:r>
        <w:rPr>
          <w:rFonts w:ascii="Times New Roman" w:hAnsi="Times New Roman"/>
          <w:b/>
          <w:sz w:val="28"/>
        </w:rPr>
        <w:t>ГОСТ Р 7.0.100-2018.</w:t>
      </w:r>
      <w:r>
        <w:rPr>
          <w:rFonts w:ascii="Times New Roman" w:hAnsi="Times New Roman"/>
          <w:sz w:val="28"/>
        </w:rPr>
        <w:t xml:space="preserve"> Библиографическая запись. Библиографическое описание. Общие требования и правила составления. — Москва : Стандартинформ, 2018. — 124 с.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31.  </w:t>
      </w:r>
      <w:r>
        <w:rPr>
          <w:rFonts w:ascii="Times New Roman" w:hAnsi="Times New Roman"/>
          <w:b/>
          <w:sz w:val="28"/>
        </w:rPr>
        <w:t>ГОСТ 7.32-2017.</w:t>
      </w:r>
      <w:r>
        <w:rPr>
          <w:rFonts w:ascii="Times New Roman" w:hAnsi="Times New Roman"/>
          <w:sz w:val="28"/>
        </w:rPr>
        <w:t xml:space="preserve"> Отчет о научно-исследовательской работе. Структура и правила оформления. — Москва : Стандартинформ, 2017. — 28 с.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32.  </w:t>
      </w:r>
      <w:r>
        <w:rPr>
          <w:rFonts w:ascii="Times New Roman" w:hAnsi="Times New Roman"/>
          <w:b/>
          <w:sz w:val="28"/>
        </w:rPr>
        <w:t>Тюрин, Ю. Н.</w:t>
      </w:r>
      <w:r>
        <w:rPr>
          <w:rFonts w:ascii="Times New Roman" w:hAnsi="Times New Roman"/>
          <w:sz w:val="28"/>
        </w:rPr>
        <w:t xml:space="preserve"> Анализ данных на компьютере / Ю. Н. Тюрин, А. А. Макаров. — 4-е изд. — Москва : ИД «Форум», 2016. — 384 с.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33.  </w:t>
      </w:r>
      <w:r>
        <w:rPr>
          <w:rFonts w:ascii="Times New Roman" w:hAnsi="Times New Roman"/>
          <w:b/>
          <w:sz w:val="28"/>
        </w:rPr>
        <w:t>Кнут, Д. Э.</w:t>
      </w:r>
      <w:r>
        <w:rPr>
          <w:rFonts w:ascii="Times New Roman" w:hAnsi="Times New Roman"/>
          <w:sz w:val="28"/>
        </w:rPr>
        <w:t xml:space="preserve"> Искусство программирования. Том 2. Получисленные алгоритмы / Д. Э. Кнут ; пер. с англ. под ред. Ю. В. Козаченко. — 3-е изд. — Москва : Вильямс, 2018. — 832 с.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34.  </w:t>
      </w:r>
      <w:r>
        <w:rPr>
          <w:rFonts w:ascii="Times New Roman" w:hAnsi="Times New Roman"/>
          <w:b/>
          <w:sz w:val="28"/>
        </w:rPr>
        <w:t>Майерс, Б.</w:t>
      </w:r>
      <w:r>
        <w:rPr>
          <w:rFonts w:ascii="Times New Roman" w:hAnsi="Times New Roman"/>
          <w:sz w:val="28"/>
        </w:rPr>
        <w:t xml:space="preserve"> Web Audio API: Создание интерактивного аудио в браузере / Б. Майерс. — Москва : ДМК Пресс, 2015. — 128 с.</w:t>
      </w:r>
    </w:p>
    <w:p>
      <w:pPr>
        <w:spacing w:line="360" w:lineRule="auto" w:after="0" w:before="0"/>
        <w:ind w:firstLine="706"/>
        <w:jc w:val="both"/>
      </w:pPr>
      <w:r>
        <w:rPr>
          <w:b/>
        </w:rPr>
        <w:t xml:space="preserve">35.  </w:t>
      </w:r>
      <w:r>
        <w:rPr>
          <w:rFonts w:ascii="Times New Roman" w:hAnsi="Times New Roman"/>
          <w:b/>
          <w:sz w:val="28"/>
        </w:rPr>
        <w:t>Parisi, T.</w:t>
      </w:r>
      <w:r>
        <w:rPr>
          <w:rFonts w:ascii="Times New Roman" w:hAnsi="Times New Roman"/>
          <w:sz w:val="28"/>
        </w:rPr>
        <w:t xml:space="preserve"> WebGL: Up and Running / T. Parisi. — Sebastopol : O'Reilly Media, 2012. — 236 p.</w:t>
      </w:r>
    </w:p>
    <w:p>
      <w:r>
        <w:br w:type="page"/>
      </w:r>
    </w:p>
    <w:p>
      <w:pPr>
        <w:spacing w:before="360" w:after="320"/>
        <w:ind w:firstLine="0"/>
        <w:jc w:val="center"/>
      </w:pPr>
      <w:r>
        <w:rPr>
          <w:rFonts w:ascii="Times New Roman" w:hAnsi="Times New Roman"/>
          <w:b/>
          <w:color w:val="1A1A1A"/>
          <w:sz w:val="32"/>
        </w:rPr>
        <w:t>ПРИЛОЖЕНИЯ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ПРИЛОЖЕНИЕ А. Архитектурные UML-диаграммы системы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F5F1EB"/>
            <w:tcBorders>
              <w:top w:val="none"/>
              <w:left w:val="single" w:sz="24" w:space="0" w:color="75523C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Consolas" w:hAnsi="Consolas"/>
                <w:color w:val="332211"/>
                <w:sz w:val="19"/>
              </w:rPr>
              <w:t>sequenceDiagram</w:t>
              <w:br/>
              <w:t xml:space="preserve">    autonumber</w:t>
              <w:br/>
              <w:t xml:space="preserve">    actor Студент</w:t>
              <w:br/>
              <w:t xml:space="preserve">    participant UI as Интерфейс (SPA DOM)</w:t>
              <w:br/>
              <w:t xml:space="preserve">    participant Engine as QuizEngine (FSM)</w:t>
              <w:br/>
              <w:t xml:space="preserve">    participant Audio as TTSController</w:t>
              <w:br/>
              <w:t xml:space="preserve">    participant Parser as Math-to-Speech Parser</w:t>
              <w:br/>
              <w:t xml:space="preserve">    participant Speech as Web Speech API (OS)</w:t>
              <w:br/>
              <w:t xml:space="preserve">    </w:t>
              <w:br/>
              <w:t xml:space="preserve">    Студент-&gt;&gt;UI: Переход в раздел Лекции 1.8 (Нормы)</w:t>
              <w:br/>
              <w:t xml:space="preserve">    UI-&gt;&gt;Audio: Вызов stop() для предыдущей темы</w:t>
              <w:br/>
              <w:t xml:space="preserve">    UI-&gt;&gt;UI: Рендеринг формул через KaTeX</w:t>
              <w:br/>
              <w:t xml:space="preserve">    Студент-&gt;&gt;UI: Нажатие кнопки «Слушать лекцию ▶»</w:t>
              <w:br/>
              <w:t xml:space="preserve">    Audio-&gt;&gt;UI: Извлечение DOM-элементов абзацев</w:t>
              <w:br/>
              <w:t xml:space="preserve">    loop Для каждого абзаца</w:t>
              <w:br/>
              <w:t xml:space="preserve">        Audio-&gt;&gt;Parser: Передача сырого HTML с формулами</w:t>
              <w:br/>
              <w:t xml:space="preserve">        Parser-&gt;&gt;Parser: Трансляция \mathbb{R}^d, \|x\|_1, \langle u, v \rangle в русскую речь</w:t>
              <w:br/>
              <w:t xml:space="preserve">        Parser--&gt;&gt;Audio: Возврат чистого фонетического текста</w:t>
              <w:br/>
              <w:t xml:space="preserve">        Audio-&gt;&gt;Audio: Разбивка на предложения (лимит 100 симв.)</w:t>
              <w:br/>
              <w:t xml:space="preserve">        Audio-&gt;&gt;UI: Подсветка .tts-reading-highlight + скролл</w:t>
              <w:br/>
              <w:t xml:space="preserve">        Audio-&gt;&gt;Speech: window.speechSynthesis.speak(utterance)</w:t>
              <w:br/>
              <w:t xml:space="preserve">        Speech--&gt;&gt;Audio: Событие onend / heartbeat тик</w:t>
              <w:br/>
              <w:t xml:space="preserve">    end</w:t>
              <w:br/>
              <w:t xml:space="preserve">    Студент-&gt;&gt;UI: Выбор ответа на контрольный вопрос</w:t>
              <w:br/>
              <w:t xml:space="preserve">    UI-&gt;&gt;Engine: checkAnswer(selectedIdx)</w:t>
              <w:br/>
              <w:t xml:space="preserve">    alt Ответ правильный</w:t>
              <w:br/>
              <w:t xml:space="preserve">        Engine-&gt;&gt;UI: Окрасить в зеленый + разблокировать кнопку перехода</w:t>
              <w:br/>
              <w:t xml:space="preserve">        Engine-&gt;&gt;UI: Обновить LocalStorage и шкалу прогресса (N / 10)</w:t>
              <w:br/>
              <w:t xml:space="preserve">        Engine-&gt;&gt;UI: Снять класс .locked с раздела 1.9</w:t>
              <w:br/>
              <w:t xml:space="preserve">    else Ответ ошибочный</w:t>
              <w:br/>
              <w:t xml:space="preserve">        Engine-&gt;&gt;UI: Показать блок .quiz-hint-box с дидактической подсказкой</w:t>
              <w:br/>
              <w:t xml:space="preserve">    end</w:t>
            </w:r>
          </w:p>
        </w:tc>
      </w:tr>
    </w:tbl>
    <w:p>
      <w:pPr>
        <w:spacing w:before="80" w:after="80"/>
      </w:pPr>
    </w:p>
    <w:p>
      <w:pPr>
        <w:spacing w:before="80" w:after="200" w:line="288" w:lineRule="auto"/>
        <w:ind w:firstLine="0"/>
        <w:jc w:val="center"/>
      </w:pPr>
      <w:r>
        <w:rPr>
          <w:rFonts w:ascii="Times New Roman" w:hAnsi="Times New Roman"/>
          <w:i/>
          <w:color w:val="444444"/>
          <w:sz w:val="24"/>
        </w:rPr>
        <w:t>Рисунок А.1 — Диаграмма последовательности взаимодействия компонентов речевой и обучающей подсистем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ПРИЛОЖЕНИЕ Б. Исходный код математико-фонетического транслятора формул в русскую речь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F5F1EB"/>
            <w:tcBorders>
              <w:top w:val="none"/>
              <w:left w:val="single" w:sz="24" w:space="0" w:color="75523C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Consolas" w:hAnsi="Consolas"/>
                <w:color w:val="332211"/>
                <w:sz w:val="19"/>
              </w:rPr>
              <w:t>/**</w:t>
              <w:br/>
              <w:t xml:space="preserve"> * Преобразование математических выражений LaTeX в орфоэпически корректную русскую речь.</w:t>
              <w:br/>
              <w:t xml:space="preserve"> * Используется в подсистеме TTSController для инклюзивного аудиосопровождения.</w:t>
              <w:br/>
              <w:t xml:space="preserve"> */</w:t>
              <w:br/>
              <w:t>function latexToSpokenRussian(tex) {</w:t>
              <w:br/>
              <w:t xml:space="preserve">    if (!tex) return '';</w:t>
              <w:br/>
              <w:t xml:space="preserve">    let s = tex.trim();</w:t>
              <w:br/>
              <w:br/>
              <w:t xml:space="preserve">    // 1. Удаление стилевых оберток</w:t>
              <w:br/>
              <w:t xml:space="preserve">    s = s.replace(/\\(?:text|mathrm|mathbf|boldsymbol|textbf|operatorname)\{([^}]*)\}/g, '$1');</w:t>
              <w:br/>
              <w:br/>
              <w:t xml:space="preserve">    // 2. Пространства и алгебраические множества</w:t>
              <w:br/>
              <w:t xml:space="preserve">    s = s.replace(/\\mathbb\{R\}\^\{m\s*\\times\s*n\}|\\mathbb\{R\}\^\{mn\}/gi, 'пространство матриц размера эм на эн ');</w:t>
              <w:br/>
              <w:t xml:space="preserve">    s = s.replace(/\\mathbb\{R\}\^n/gi, 'пространство эр эн ');</w:t>
              <w:br/>
              <w:t xml:space="preserve">    s = s.replace(/\\mathbb\{R\}\^2/gi, 'эр два ');</w:t>
              <w:br/>
              <w:t xml:space="preserve">    s = s.replace(/\\mathbb\{R\}\^3/gi, 'эр три ');</w:t>
              <w:br/>
              <w:t xml:space="preserve">    s = s.replace(/\\mathbb\{R\}\^d/gi, 'пространство эр дэ ');</w:t>
              <w:br/>
              <w:t xml:space="preserve">    s = s.replace(/\\mathbb\{R\}\^k/gi, 'пространство эр ка ');</w:t>
              <w:br/>
              <w:t xml:space="preserve">    s = s.replace(/\\mathbb\{R\}/gi, 'множество вещественных чисел эр ');</w:t>
              <w:br/>
              <w:t xml:space="preserve">    s = s.replace(/\\mathcal\{P\}_k/gi, 'пространство многочленов степени ка ');</w:t>
              <w:br/>
              <w:t xml:space="preserve">    s = s.replace(/C\[a,\s*b\]/gi, 'пространство непрерывных функций на отрезке а бэ ');</w:t>
              <w:br/>
              <w:br/>
              <w:t xml:space="preserve">    // 3. Операторы и функциональные характеристики</w:t>
              <w:br/>
              <w:t xml:space="preserve">    s = s.replace(/\\operatorname\{Span\}|Span/gi, 'линейная оболочка спан ');</w:t>
              <w:br/>
              <w:t xml:space="preserve">    s = s.replace(/\\operatorname\{rank\}|rank/gi, 'ранг ');</w:t>
              <w:br/>
              <w:t xml:space="preserve">    s = s.replace(/\\operatorname\{dim\}|dim/gi, 'размерность ');</w:t>
              <w:br/>
              <w:t xml:space="preserve">    s = s.replace(/\\operatorname\{Ker\}|Ker/gi, 'ядро оператора ');</w:t>
              <w:br/>
              <w:t xml:space="preserve">    s = s.replace(/\\operatorname\{Im\}|Im/gi, 'образ оператора ');</w:t>
              <w:br/>
              <w:t xml:space="preserve">    s = s.replace(/\\operatorname\{tr\}|\btr\b/gi, 'след матрицы ');</w:t>
              <w:br/>
              <w:t xml:space="preserve">    s = s.replace(/\\det\b/gi, 'определитель ');</w:t>
              <w:br/>
              <w:t xml:space="preserve">    s = s.replace(/\\cos\b/g, 'косинус ');</w:t>
              <w:br/>
              <w:t xml:space="preserve">    s = s.replace(/\\sin\b/g, 'синус ');</w:t>
              <w:br/>
              <w:br/>
              <w:t xml:space="preserve">    // 4. Нормы векторов и матриц</w:t>
              <w:br/>
              <w:t xml:space="preserve">    s = s.replace(/\\\|([^\\|]+)\\\|_\{?\\infty\}?/g, 'норма $1 бесконечность ');</w:t>
              <w:br/>
              <w:t xml:space="preserve">    s = s.replace(/\\\|([^\\|]+)\\\|_2\^2/g, 'квадрат евклидовой нормы $1 ');</w:t>
              <w:br/>
              <w:t xml:space="preserve">    s = s.replace(/\\\|([^\\|]+)\\\|_2/g, 'евклидова норма $1 ');</w:t>
              <w:br/>
              <w:t xml:space="preserve">    s = s.replace(/\\\|([^\\|]+)\\\|_1/g, 'эль один норма $1 ');</w:t>
              <w:br/>
              <w:t xml:space="preserve">    s = s.replace(/\\\|([^\\|]+)\\\|_F\^2/g, 'квадрат нормы Фробениуса $1 ');</w:t>
              <w:br/>
              <w:t xml:space="preserve">    s = s.replace(/\\\|([^\\|]+)\\\|_F/g, 'норма Фробениуса $1 ');</w:t>
              <w:br/>
              <w:t xml:space="preserve">    s = s.replace(/\\\|([^\\|]+)\\\|_p/g, 'норма $1 по пэ ');</w:t>
              <w:br/>
              <w:t xml:space="preserve">    s = s.replace(/\\\|([^\\|]+)\\\|_\{([^}]+)\}/g, 'норма $1 по $2 ');</w:t>
              <w:br/>
              <w:t xml:space="preserve">    s = s.replace(/\\\|([^\\|]+)\\\|/g, 'норма $1 ');</w:t>
              <w:br/>
              <w:br/>
              <w:t xml:space="preserve">    // 5. Скалярные произведения</w:t>
              <w:br/>
              <w:t xml:space="preserve">    s = s.replace(/\\langle\s*([^,]+),\s*([^\\&gt;]+)\s*\\rangle/g, 'скалярное произведение $1 и $2 ');</w:t>
              <w:br/>
              <w:t xml:space="preserve">    s = s.replace(/\\langle\s*\\cdot\s*,\s*\\cdot\s*\\rangle/g, 'скалярное произведение ');</w:t>
              <w:br/>
              <w:br/>
              <w:t xml:space="preserve">    // 6. Дроби, корни и степени</w:t>
              <w:br/>
              <w:t xml:space="preserve">    s = s.replace(/\\frac\{1\}\{\\sqrt\{d_k\}\}/gi, 'единица деленная на корень из дэ ка ');</w:t>
              <w:br/>
              <w:t xml:space="preserve">    s = s.replace(/\\frac\{1\}\{2\}/g, 'одна вторая ');</w:t>
              <w:br/>
              <w:t xml:space="preserve">    s = s.replace(/\\frac\{([^}]+)\}\{([^}]+)\}/g, '$1 деленное на $2 ');</w:t>
              <w:br/>
              <w:t xml:space="preserve">    s = s.replace(/\\sqrt\{([^}]+)\}/g, 'корень из $1 ');</w:t>
              <w:br/>
              <w:t xml:space="preserve">    s = s.replace(/\^2\b/g, ' в квадрате ');</w:t>
              <w:br/>
              <w:t xml:space="preserve">    s = s.replace(/\^T\b/g, ' транспонированное ');</w:t>
              <w:br/>
              <w:t xml:space="preserve">    s = s.replace(/\^\{-1\}\b/g, ' в минус первой степени (обратная) ');</w:t>
              <w:br/>
              <w:br/>
              <w:t xml:space="preserve">    // 7. Суммы и интегралы</w:t>
              <w:br/>
              <w:t xml:space="preserve">    s = s.replace(/\\sum_\{([^}]+)\}\^\{([^}]+)\}/g, 'сумма от $1 до $2 ');</w:t>
              <w:br/>
              <w:t xml:space="preserve">    s = s.replace(/\\sum/g, 'сумма ');</w:t>
              <w:br/>
              <w:br/>
              <w:t xml:space="preserve">    // 8. Логические кванторы и связки</w:t>
              <w:br/>
              <w:t xml:space="preserve">    s = s.replace(/\\implies/g, ' следовательно ');</w:t>
              <w:br/>
              <w:t xml:space="preserve">    s = s.replace(/\\iff/g, ' тогда и только тогда, когда ');</w:t>
              <w:br/>
              <w:t xml:space="preserve">    s = s.replace(/\\subset(?:eq)?/g, ' является подмножеством ');</w:t>
              <w:br/>
              <w:t xml:space="preserve">    s = s.replace(/\\in/g, ' принадлежит ');</w:t>
              <w:br/>
              <w:t xml:space="preserve">    s = s.replace(/\\notin/g, ' не принадлежит ');</w:t>
              <w:br/>
              <w:t xml:space="preserve">    s = s.replace(/\\ne\b|\\neq\b/g, ' не равно ');</w:t>
              <w:br/>
              <w:t xml:space="preserve">    s = s.replace(/\\le\b|\\leq\b/g, ' меньше либо равно ');</w:t>
              <w:br/>
              <w:t xml:space="preserve">    s = s.replace(/\\ge\b|\\geq\b/g, ' больше либо равно ');</w:t>
              <w:br/>
              <w:t xml:space="preserve">    s = s.replace(/\\approx/g, ' приблизительно равно ');</w:t>
              <w:br/>
              <w:t xml:space="preserve">    s = s.replace(/\\times/g, ' на ');</w:t>
              <w:br/>
              <w:t xml:space="preserve">    s = s.replace(/\\cdot/g, ' умножить на ');</w:t>
              <w:br/>
              <w:br/>
              <w:t xml:space="preserve">    // 9. Греческий алфавит</w:t>
              <w:br/>
              <w:t xml:space="preserve">    s = s.replace(/\\alpha/g, 'альфа ');</w:t>
              <w:br/>
              <w:t xml:space="preserve">    s = s.replace(/\\beta/g, 'бета ');</w:t>
              <w:br/>
              <w:t xml:space="preserve">    s = s.replace(/\\gamma/g, 'гамма ');</w:t>
              <w:br/>
              <w:t xml:space="preserve">    s = s.replace(/\\lambda_i/g, 'лямбда итая ');</w:t>
              <w:br/>
              <w:t xml:space="preserve">    s = s.replace(/\\lambda/g, 'лямбда ');</w:t>
              <w:br/>
              <w:t xml:space="preserve">    s = s.replace(/\\sigma_i/g, 'сигма итая ');</w:t>
              <w:br/>
              <w:t xml:space="preserve">    s = s.replace(/\\sigma/g, 'сигма ');</w:t>
              <w:br/>
              <w:t xml:space="preserve">    s = s.replace(/\\varepsilon|\\epsilon/g, 'эпсилон ');</w:t>
              <w:br/>
              <w:t xml:space="preserve">    s = s.replace(/\\theta/g, 'тэта ');</w:t>
              <w:br/>
              <w:br/>
              <w:t xml:space="preserve">    // 10. Очистка пунктуации и лишних пробелов</w:t>
              <w:br/>
              <w:t xml:space="preserve">    s = s.replace(/[{}]/g, ' ');</w:t>
              <w:br/>
              <w:t xml:space="preserve">    s = s.replace(/\\/g, ' ');</w:t>
              <w:br/>
              <w:t xml:space="preserve">    s = s.replace(/\s+/g, ' ').trim();</w:t>
              <w:br/>
              <w:br/>
              <w:t xml:space="preserve">    return s;</w:t>
              <w:br/>
              <w:t>}</w:t>
            </w:r>
          </w:p>
        </w:tc>
      </w:tr>
    </w:tbl>
    <w:p>
      <w:pPr>
        <w:spacing w:before="80" w:after="80"/>
      </w:pP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ПРИЛОЖЕНИЕ В. Исходный код алгоритмов численного анализа и 3D-проекций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F5F1EB"/>
            <w:tcBorders>
              <w:top w:val="none"/>
              <w:left w:val="single" w:sz="24" w:space="0" w:color="75523C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Consolas" w:hAnsi="Consolas"/>
                <w:color w:val="332211"/>
                <w:sz w:val="19"/>
              </w:rPr>
              <w:t>/**</w:t>
              <w:br/>
              <w:t xml:space="preserve"> * Численный расчет ортогональной проекции МНК и верификация теоремы Пифагора</w:t>
              <w:br/>
              <w:t xml:space="preserve"> */</w:t>
              <w:br/>
              <w:t>function computeLeastSquaresProjection(X_matrix, y_vector) {</w:t>
              <w:br/>
              <w:t xml:space="preserve">    // 1. Вычисление матрицы Грама G = X^T * X</w:t>
              <w:br/>
              <w:t xml:space="preserve">    const p = X_matrix[0].length; // Число признаков</w:t>
              <w:br/>
              <w:t xml:space="preserve">    const n = X_matrix.length;    // Число наблюдений</w:t>
              <w:br/>
              <w:t xml:space="preserve">    </w:t>
              <w:br/>
              <w:t xml:space="preserve">    let G = Array.from({ length: p }, () =&gt; Array(p).fill(0));</w:t>
              <w:br/>
              <w:t xml:space="preserve">    for (let i = 0; i &lt; p; i++) {</w:t>
              <w:br/>
              <w:t xml:space="preserve">        for (let j = 0; j &lt; p; j++) {</w:t>
              <w:br/>
              <w:t xml:space="preserve">            let sum = 0;</w:t>
              <w:br/>
              <w:t xml:space="preserve">            for (let k = 0; k &lt; n; k++) {</w:t>
              <w:br/>
              <w:t xml:space="preserve">                sum += X_matrix[k][i] * X_matrix[k][j];</w:t>
              <w:br/>
              <w:t xml:space="preserve">            }</w:t>
              <w:br/>
              <w:t xml:space="preserve">            G[i][j] = sum;</w:t>
              <w:br/>
              <w:t xml:space="preserve">        }</w:t>
              <w:br/>
              <w:t xml:space="preserve">    }</w:t>
              <w:br/>
              <w:br/>
              <w:t xml:space="preserve">    // 2. Вычисление правой части b = X^T * y</w:t>
              <w:br/>
              <w:t xml:space="preserve">    let b = Array(p).fill(0);</w:t>
              <w:br/>
              <w:t xml:space="preserve">    for (let i = 0; i &lt; p; i++) {</w:t>
              <w:br/>
              <w:t xml:space="preserve">        let sum = 0;</w:t>
              <w:br/>
              <w:t xml:space="preserve">        for (let k = 0; k &lt; n; k++) {</w:t>
              <w:br/>
              <w:t xml:space="preserve">            sum += X_matrix[k][i] * y_vector[k];</w:t>
              <w:br/>
              <w:t xml:space="preserve">        }</w:t>
              <w:br/>
              <w:t xml:space="preserve">        b[i] = sum;</w:t>
              <w:br/>
              <w:t xml:space="preserve">    }</w:t>
              <w:br/>
              <w:br/>
              <w:t xml:space="preserve">    // 3. Решение системы G * w = b методом Гаусса с частичным выбором ведущего</w:t>
              <w:br/>
              <w:t xml:space="preserve">    const w = solveGaussianLinearSystem(G, b);</w:t>
              <w:br/>
              <w:br/>
              <w:t xml:space="preserve">    // 4. Восстановление прогноза y_hat = X * w и остатка e = y - y_hat</w:t>
              <w:br/>
              <w:t xml:space="preserve">    let y_hat = Array(n).fill(0);</w:t>
              <w:br/>
              <w:t xml:space="preserve">    let e = Array(n).fill(0);</w:t>
              <w:br/>
              <w:t xml:space="preserve">    for (let k = 0; k &lt; n; k++) {</w:t>
              <w:br/>
              <w:t xml:space="preserve">        let sum = 0;</w:t>
              <w:br/>
              <w:t xml:space="preserve">        for (let j = 0; j &lt; p; j++) {</w:t>
              <w:br/>
              <w:t xml:space="preserve">            sum += X_matrix[k][j] * w[j];</w:t>
              <w:br/>
              <w:t xml:space="preserve">        }</w:t>
              <w:br/>
              <w:t xml:space="preserve">        y_hat[k] = sum;</w:t>
              <w:br/>
              <w:t xml:space="preserve">        e[k] = y_vector[k] - y_hat[k];</w:t>
              <w:br/>
              <w:t xml:space="preserve">    }</w:t>
              <w:br/>
              <w:br/>
              <w:t xml:space="preserve">    // 5. Верификация тождества Пифагора: ||y||^2 = ||y_hat||^2 + ||e||^2</w:t>
              <w:br/>
              <w:t xml:space="preserve">    let norm_y_sq = y_vector.reduce((acc, val) =&gt; acc + val * val, 0);</w:t>
              <w:br/>
              <w:t xml:space="preserve">    let norm_yhat_sq = y_hat.reduce((acc, val) =&gt; acc + val * val, 0);</w:t>
              <w:br/>
              <w:t xml:space="preserve">    let norm_e_sq = e.reduce((acc, val) =&gt; acc + val * val, 0);</w:t>
              <w:br/>
              <w:t xml:space="preserve">    let pythagoras_discrepancy = Math.abs(norm_y_sq - (norm_yhat_sq + norm_e_sq));</w:t>
              <w:br/>
              <w:br/>
              <w:t xml:space="preserve">    return {</w:t>
              <w:br/>
              <w:t xml:space="preserve">        weights: w,</w:t>
              <w:br/>
              <w:t xml:space="preserve">        y_projected: y_hat,</w:t>
              <w:br/>
              <w:t xml:space="preserve">        residual_error: e,</w:t>
              <w:br/>
              <w:t xml:space="preserve">        norm_y_sq: norm_y_sq,</w:t>
              <w:br/>
              <w:t xml:space="preserve">        norm_yhat_sq: norm_yhat_sq,</w:t>
              <w:br/>
              <w:t xml:space="preserve">        norm_e_sq: norm_e_sq,</w:t>
              <w:br/>
              <w:t xml:space="preserve">        discrepancy: pythagoras_discrepancy,</w:t>
              <w:br/>
              <w:t xml:space="preserve">        is_orthogonal: pythagoras_discrepancy &lt; 1e-12</w:t>
              <w:br/>
              <w:t xml:space="preserve">    };</w:t>
              <w:br/>
              <w:t>}</w:t>
            </w:r>
          </w:p>
        </w:tc>
      </w:tr>
    </w:tbl>
    <w:p>
      <w:pPr>
        <w:spacing w:before="80" w:after="80"/>
      </w:pP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ПРИЛОЖЕНИЕ Г. Банк проверочных заданий и контрольных вопросов модулей 1, 2 и 3</w:t>
      </w:r>
    </w:p>
    <w:p>
      <w:pPr>
        <w:spacing w:before="80" w:after="200" w:line="288" w:lineRule="auto"/>
        <w:ind w:firstLine="0"/>
        <w:jc w:val="center"/>
      </w:pPr>
      <w:r>
        <w:rPr>
          <w:rFonts w:ascii="Times New Roman" w:hAnsi="Times New Roman"/>
          <w:i/>
          <w:color w:val="444444"/>
          <w:sz w:val="24"/>
        </w:rPr>
        <w:t>Таблица Г.1 — Спецификация контрольных вопросов базовых тем курса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AE4DD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Модуль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AE4DD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Идентификатор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AE4DD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Тема подмодуля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AE4DD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Контрольный вопрос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AE4DD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Эталонный ответ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AE4DD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Дидактическая подсказка при ошибке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AE4DD"/>
          </w:tcPr>
          <w:p>
            <w:pPr>
              <w:spacing w:line="276" w:lineRule="auto" w:before="40" w:after="40"/>
              <w:ind w:firstLine="0"/>
              <w:jc w:val="center"/>
            </w:pP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AE4DD"/>
          </w:tcPr>
          <w:p>
            <w:pPr>
              <w:spacing w:line="276" w:lineRule="auto" w:before="40" w:after="40"/>
              <w:ind w:firstLine="0"/>
              <w:jc w:val="center"/>
            </w:pPr>
          </w:p>
        </w:tc>
      </w:tr>
      <w:tr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М1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Consolas" w:hAnsi="Consolas"/>
                <w:color w:val="75523C"/>
                <w:sz w:val="18"/>
              </w:rPr>
              <w:t>sec-1-1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1.1 От задачи к абстракции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 xml:space="preserve">Какую алгебраическую структуру образует множество векторов признаков </w:t>
            </w:r>
            <m:oMath>
              <m:sSup>
                <m:e>
                  <m:r>
                    <m:t>ℝ</m:t>
                  </m:r>
                </m:e>
                <m:sup>
                  <m:r>
                    <m:t>d</m:t>
                  </m:r>
                </m:sup>
              </m:sSup>
            </m:oMath>
            <w:r>
              <w:rPr>
                <w:rFonts w:ascii="Times New Roman" w:hAnsi="Times New Roman"/>
                <w:sz w:val="20"/>
              </w:rPr>
              <w:t>?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 xml:space="preserve">Векторное (линейное) пространство </w:t>
            </w:r>
            <m:oMath>
              <m:sSup>
                <m:e>
                  <m:r>
                    <m:t>ℝ</m:t>
                  </m:r>
                </m:e>
                <m:sup>
                  <m:r>
                    <m:t>d</m:t>
                  </m:r>
                </m:sup>
              </m:sSup>
            </m:oMath>
            <w:r>
              <w:rPr>
                <w:rFonts w:ascii="Times New Roman" w:hAnsi="Times New Roman"/>
                <w:sz w:val="20"/>
              </w:rPr>
              <w:t xml:space="preserve"> над полем </w:t>
            </w:r>
            <m:oMath>
              <m:r>
                <m:t>ℝ</m:t>
              </m:r>
            </m:oMath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Наличие замкнутых операций сложения и масштабирования задает аксиоматику векторного пространства.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</w:p>
        </w:tc>
      </w:tr>
      <w:tr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М1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Consolas" w:hAnsi="Consolas"/>
                <w:color w:val="75523C"/>
                <w:sz w:val="18"/>
              </w:rPr>
              <w:t>sec-1-2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1.2 Аксиоматика и подпространства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 xml:space="preserve">Является ли гиперплоскость </w:t>
            </w:r>
            <m:oMath>
              <m:sSup>
                <m:e>
                  <m:r>
                    <m:t>w</m:t>
                  </m:r>
                </m:e>
                <m:sup>
                  <m:r>
                    <m:t>T</m:t>
                  </m:r>
                </m:sup>
              </m:sSup>
              <m:r>
                <m:t>x=b</m:t>
              </m:r>
            </m:oMath>
            <w:r>
              <w:rPr>
                <w:rFonts w:ascii="Times New Roman" w:hAnsi="Times New Roman"/>
                <w:sz w:val="20"/>
              </w:rPr>
              <w:t xml:space="preserve"> подпространством при </w:t>
            </w:r>
            <m:oMath>
              <m:r>
                <m:t>b≠0</m:t>
              </m:r>
            </m:oMath>
            <w:r>
              <w:rPr>
                <w:rFonts w:ascii="Times New Roman" w:hAnsi="Times New Roman"/>
                <w:sz w:val="20"/>
              </w:rPr>
              <w:t>?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 xml:space="preserve">Нет, так как нулевой вектор не принадлежит </w:t>
            </w:r>
            <m:oMath>
              <m:r>
                <m:t>H</m:t>
              </m:r>
            </m:oMath>
            <w:r>
              <w:rPr>
                <w:rFonts w:ascii="Times New Roman" w:hAnsi="Times New Roman"/>
                <w:sz w:val="20"/>
              </w:rPr>
              <w:t xml:space="preserve"> (</w:t>
            </w:r>
            <m:oMath>
              <m:sSup>
                <m:e>
                  <m:r>
                    <m:t>w</m:t>
                  </m:r>
                </m:e>
                <m:sup>
                  <m:r>
                    <m:t>T</m:t>
                  </m:r>
                </m:sup>
              </m:sSup>
              <m:r>
                <m:t>0=0≠b</m:t>
              </m:r>
            </m:oMath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 xml:space="preserve">Подпространство обязано содержать начало координат. При </w:t>
            </w:r>
            <m:oMath>
              <m:r>
                <m:t>b≠0</m:t>
              </m:r>
            </m:oMath>
            <w:r>
              <w:rPr>
                <w:rFonts w:ascii="Times New Roman" w:hAnsi="Times New Roman"/>
                <w:sz w:val="20"/>
              </w:rPr>
              <w:t xml:space="preserve"> это аффинное подмногообразие.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</w:p>
        </w:tc>
      </w:tr>
      <w:tr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М1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Consolas" w:hAnsi="Consolas"/>
                <w:color w:val="75523C"/>
                <w:sz w:val="18"/>
              </w:rPr>
              <w:t>sec-1-6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1.6 Ранг и метод Гаусса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 xml:space="preserve">Матрица </w:t>
            </w:r>
            <m:oMath>
              <m:r>
                <m:t>X∈</m:t>
              </m:r>
              <m:sSup>
                <m:e>
                  <m:r>
                    <m:t>ℝ</m:t>
                  </m:r>
                </m:e>
                <m:sup>
                  <m:r>
                    <m:t>100×10</m:t>
                  </m:r>
                </m:sup>
              </m:sSup>
            </m:oMath>
            <w:r>
              <w:rPr>
                <w:rFonts w:ascii="Times New Roman" w:hAnsi="Times New Roman"/>
                <w:sz w:val="20"/>
              </w:rPr>
              <w:t xml:space="preserve"> имеет ранг 7. Что произойдет с </w:t>
            </w:r>
            <m:oMath>
              <m:sSup>
                <m:e>
                  <m:r>
                    <m:t>X</m:t>
                  </m:r>
                </m:e>
                <m:sup>
                  <m:r>
                    <m:t>T</m:t>
                  </m:r>
                </m:sup>
              </m:sSup>
              <m:r>
                <m:t>X</m:t>
              </m:r>
            </m:oMath>
            <w:r>
              <w:rPr>
                <w:rFonts w:ascii="Times New Roman" w:hAnsi="Times New Roman"/>
                <w:sz w:val="20"/>
              </w:rPr>
              <w:t>?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 xml:space="preserve">Матрица </w:t>
            </w:r>
            <m:oMath>
              <m:sSup>
                <m:e>
                  <m:r>
                    <m:t>X</m:t>
                  </m:r>
                </m:e>
                <m:sup>
                  <m:r>
                    <m:t>T</m:t>
                  </m:r>
                </m:sup>
              </m:sSup>
              <m:r>
                <m:t>X</m:t>
              </m:r>
            </m:oMath>
            <w:r>
              <w:rPr>
                <w:rFonts w:ascii="Times New Roman" w:hAnsi="Times New Roman"/>
                <w:sz w:val="20"/>
              </w:rPr>
              <w:t xml:space="preserve"> ранга 7 вырождена и необратима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m:oMath>
              <m:r>
                <m:t>rank(</m:t>
              </m:r>
              <m:sSup>
                <m:e>
                  <m:r>
                    <m:t>X</m:t>
                  </m:r>
                </m:e>
                <m:sup>
                  <m:r>
                    <m:t>T</m:t>
                  </m:r>
                </m:sup>
              </m:sSup>
              <m:r>
                <m:t>X)=rank(X)=7&lt;10</m:t>
              </m:r>
            </m:oMath>
            <w:r>
              <w:rPr>
                <w:rFonts w:ascii="Times New Roman" w:hAnsi="Times New Roman"/>
                <w:sz w:val="20"/>
              </w:rPr>
              <w:t>. Неполный ранг исключает аналитическое обращение без регуляризации.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</w:p>
        </w:tc>
      </w:tr>
      <w:tr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М1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Consolas" w:hAnsi="Consolas"/>
                <w:color w:val="75523C"/>
                <w:sz w:val="18"/>
              </w:rPr>
              <w:t>sec-1-7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1.7 Скалярное произведение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 xml:space="preserve">Вектор </w:t>
            </w:r>
            <m:oMath>
              <m:r>
                <m:t>v</m:t>
              </m:r>
            </m:oMath>
            <w:r>
              <w:rPr>
                <w:rFonts w:ascii="Times New Roman" w:hAnsi="Times New Roman"/>
                <w:sz w:val="20"/>
              </w:rPr>
              <w:t xml:space="preserve"> удлинен в 4 раза (</w:t>
            </w:r>
            <m:oMath>
              <m:r>
                <m:t>v=4u</m:t>
              </m:r>
            </m:oMath>
            <w:r>
              <w:rPr>
                <w:rFonts w:ascii="Times New Roman" w:hAnsi="Times New Roman"/>
                <w:sz w:val="20"/>
              </w:rPr>
              <w:t xml:space="preserve">). Как изменится </w:t>
            </w:r>
            <m:oMath>
              <m:r>
                <m:rPr>
                  <m:sty m:val="p"/>
                </m:rPr>
                <m:t>cos</m:t>
              </m:r>
              <m:r>
                <m:t>(u,v)</m:t>
              </m:r>
            </m:oMath>
            <w:r>
              <w:rPr>
                <w:rFonts w:ascii="Times New Roman" w:hAnsi="Times New Roman"/>
                <w:sz w:val="20"/>
              </w:rPr>
              <w:t>?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Косинусное сходство осталось равным 1 (масштабная инвариантность)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Косинусная мера делит скалярное произведение на произведение длин, нивелируя масштаб векторов.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</w:p>
        </w:tc>
      </w:tr>
      <w:tr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М1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Consolas" w:hAnsi="Consolas"/>
                <w:color w:val="75523C"/>
                <w:sz w:val="18"/>
              </w:rPr>
              <w:t>sec-1-9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1.9 Геометрия регуляризации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Почему регуляризация Lasso (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/>
                <w:sz w:val="20"/>
              </w:rPr>
              <w:t>) обнуляет веса признаков?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 xml:space="preserve">Точки касания эллипса потерь с ромбом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/>
                <w:sz w:val="20"/>
              </w:rPr>
              <w:t xml:space="preserve"> чаще приходятся на его острые вершины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 xml:space="preserve">На осях гиперромба часть координат строго равна 0. У сферы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/>
                <w:sz w:val="20"/>
              </w:rPr>
              <w:t xml:space="preserve"> нет углов.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</w:p>
        </w:tc>
      </w:tr>
      <w:tr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М2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Consolas" w:hAnsi="Consolas"/>
                <w:color w:val="75523C"/>
                <w:sz w:val="18"/>
              </w:rPr>
              <w:t>sec-2-5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2.5 Ядро и образ оператора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 xml:space="preserve">Какова сумма размерностей ядра и образа оператора </w:t>
            </w:r>
            <m:oMath>
              <m:r>
                <m:t>T:V→W</m:t>
              </m:r>
            </m:oMath>
            <w:r>
              <w:rPr>
                <w:rFonts w:ascii="Times New Roman" w:hAnsi="Times New Roman"/>
                <w:sz w:val="20"/>
              </w:rPr>
              <w:t>?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 xml:space="preserve">Строго равна размерности пространства прообразов </w:t>
            </w:r>
            <m:oMath>
              <m:r>
                <m:rPr>
                  <m:sty m:val="p"/>
                </m:rPr>
                <m:t>dim</m:t>
              </m:r>
              <m:r>
                <m:t>(V)</m:t>
              </m:r>
            </m:oMath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 xml:space="preserve">Фундаментальная теорема о ранге и дефекте: </w:t>
            </w:r>
            <m:oMath>
              <m:r>
                <m:rPr>
                  <m:sty m:val="p"/>
                </m:rPr>
                <m:t>dim</m:t>
              </m:r>
              <m:r>
                <m:t>Ker(T)+</m:t>
              </m:r>
              <m:r>
                <m:rPr>
                  <m:sty m:val="p"/>
                </m:rPr>
                <m:t>dim</m:t>
              </m:r>
              <m:r>
                <m:t>Im(T)=</m:t>
              </m:r>
              <m:r>
                <m:rPr>
                  <m:sty m:val="p"/>
                </m:rPr>
                <m:t>dim</m:t>
              </m:r>
              <m:r>
                <m:t>(V)</m:t>
              </m:r>
            </m:oMath>
            <w:r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</w:p>
        </w:tc>
      </w:tr>
      <w:tr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М2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Consolas" w:hAnsi="Consolas"/>
                <w:color w:val="75523C"/>
                <w:sz w:val="18"/>
              </w:rPr>
              <w:t>sec-2-7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2.7 Ортогональная проекция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 xml:space="preserve">Каким алгебраическим свойствам удовлетворяет матрица проектора </w:t>
            </w:r>
            <m:oMath>
              <m:r>
                <m:t>P</m:t>
              </m:r>
            </m:oMath>
            <w:r>
              <w:rPr>
                <w:rFonts w:ascii="Times New Roman" w:hAnsi="Times New Roman"/>
                <w:sz w:val="20"/>
              </w:rPr>
              <w:t>?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m:oMath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=P</m:t>
              </m:r>
            </m:oMath>
            <w:r>
              <w:rPr>
                <w:rFonts w:ascii="Times New Roman" w:hAnsi="Times New Roman"/>
                <w:sz w:val="20"/>
              </w:rPr>
              <w:t xml:space="preserve"> (идемпотентность) и </w:t>
            </w:r>
            <m:oMath>
              <m:sSup>
                <m:e>
                  <m:r>
                    <m:t>P</m:t>
                  </m:r>
                </m:e>
                <m:sup>
                  <m:r>
                    <m:t>T</m:t>
                  </m:r>
                </m:sup>
              </m:sSup>
              <m:r>
                <m:t>=P</m:t>
              </m:r>
            </m:oMath>
            <w:r>
              <w:rPr>
                <w:rFonts w:ascii="Times New Roman" w:hAnsi="Times New Roman"/>
                <w:sz w:val="20"/>
              </w:rPr>
              <w:t xml:space="preserve"> (симметричность)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Повторное проектирование не меняет вектор, а ортогональность гарантирует симметричность оператора.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</w:p>
        </w:tc>
      </w:tr>
      <w:tr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М2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Consolas" w:hAnsi="Consolas"/>
                <w:color w:val="75523C"/>
                <w:sz w:val="18"/>
              </w:rPr>
              <w:t>sec-2-9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2.9 Обусловленность МНК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 xml:space="preserve">Чему равно число обусловленности матрицы Грама </w:t>
            </w:r>
            <m:oMath>
              <m:r>
                <m:t>κ(</m:t>
              </m:r>
              <m:sSup>
                <m:e>
                  <m:r>
                    <m:t>X</m:t>
                  </m:r>
                </m:e>
                <m:sup>
                  <m:r>
                    <m:t>T</m:t>
                  </m:r>
                </m:sup>
              </m:sSup>
              <m:r>
                <m:t>X)</m:t>
              </m:r>
            </m:oMath>
            <w:r>
              <w:rPr>
                <w:rFonts w:ascii="Times New Roman" w:hAnsi="Times New Roman"/>
                <w:sz w:val="20"/>
              </w:rPr>
              <w:t>?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 xml:space="preserve">Равно квадрату обусловленности: </w:t>
            </w:r>
            <m:oMath>
              <m:sSup>
                <m:e>
                  <m:d>
                    <m:dPr>
                      <m:sepChr m:val=""/>
                    </m:dPr>
                    <m:e/>
                  </m:d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Возведение в квадрат приводит к взрыву вычислительной ошибки, поэтому предпочтительнее QR-солвер.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</w:p>
        </w:tc>
      </w:tr>
      <w:tr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М3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Consolas" w:hAnsi="Consolas"/>
                <w:color w:val="75523C"/>
                <w:sz w:val="18"/>
              </w:rPr>
              <w:t>sec-3-6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3.6 Сингулярное разложение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 xml:space="preserve">Каков геометрический смысл факторов разложения </w:t>
            </w:r>
            <m:oMath>
              <m:r>
                <m:t>A=UΣ</m:t>
              </m:r>
              <m:sSup>
                <m:e>
                  <m:r>
                    <m:t>V</m:t>
                  </m:r>
                </m:e>
                <m:sup>
                  <m:r>
                    <m:t>T</m:t>
                  </m:r>
                </m:sup>
              </m:sSup>
            </m:oMath>
            <w:r>
              <w:rPr>
                <w:rFonts w:ascii="Times New Roman" w:hAnsi="Times New Roman"/>
                <w:sz w:val="20"/>
              </w:rPr>
              <w:t>?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 xml:space="preserve">Поворот </w:t>
            </w:r>
            <m:oMath>
              <m:sSup>
                <m:e>
                  <m:r>
                    <m:t>V</m:t>
                  </m:r>
                </m:e>
                <m:sup>
                  <m:r>
                    <m:t>T</m:t>
                  </m:r>
                </m:sup>
              </m:sSup>
            </m:oMath>
            <w:r>
              <w:rPr>
                <w:rFonts w:ascii="Times New Roman" w:hAnsi="Times New Roman"/>
                <w:sz w:val="20"/>
              </w:rPr>
              <w:t xml:space="preserve">, масштабирование вдоль осей </w:t>
            </w:r>
            <m:oMath>
              <m:r>
                <m:t>Σ</m:t>
              </m:r>
            </m:oMath>
            <w:r>
              <w:rPr>
                <w:rFonts w:ascii="Times New Roman" w:hAnsi="Times New Roman"/>
                <w:sz w:val="20"/>
              </w:rPr>
              <w:t xml:space="preserve">, поворот </w:t>
            </w:r>
            <m:oMath>
              <m:r>
                <m:t>U</m:t>
              </m:r>
            </m:oMath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SVD факторизует любое линейное отображение в ортогональный поворот, деформацию и финальный поворот.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AF8F5"/>
          </w:tcPr>
          <w:p>
            <w:pPr>
              <w:spacing w:line="276" w:lineRule="auto" w:before="40" w:after="40"/>
              <w:ind w:firstLine="0"/>
            </w:pPr>
          </w:p>
        </w:tc>
      </w:tr>
      <w:tr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М3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Consolas" w:hAnsi="Consolas"/>
                <w:color w:val="75523C"/>
                <w:sz w:val="18"/>
              </w:rPr>
              <w:t>sec-3-7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3.7 Теорема Эккарта-Юнга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 xml:space="preserve">Чему равна погрешность усеченного SVD ранга </w:t>
            </w:r>
            <m:oMath>
              <m:r>
                <m:t>k</m:t>
              </m:r>
            </m:oMath>
            <w:r>
              <w:rPr>
                <w:rFonts w:ascii="Times New Roman" w:hAnsi="Times New Roman"/>
                <w:sz w:val="20"/>
              </w:rPr>
              <w:t xml:space="preserve"> в спектральной норме?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 xml:space="preserve">В точности равна первому отброшенному сингулярному числу </w:t>
            </w:r>
            <m:oMath>
              <m:sSub>
                <m:e>
                  <m:r>
                    <m:t>σ</m:t>
                  </m:r>
                </m:e>
                <m:sub>
                  <m:r>
                    <m:t>k+1</m:t>
                  </m:r>
                </m:sub>
              </m:sSub>
            </m:oMath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Теорема гарантирует, что $\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A - A_k\</w:t>
            </w:r>
          </w:p>
        </w:tc>
        <w:tc>
          <w:tcPr>
            <w:tcW w:type="dxa" w:w="1211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Times New Roman" w:hAnsi="Times New Roman"/>
                <w:sz w:val="20"/>
              </w:rPr>
              <w:t>_2 = \sigma_{k+1}$, обеспечивая оптимальное низкоранговое сжатие.</w:t>
            </w:r>
          </w:p>
        </w:tc>
      </w:tr>
    </w:tbl>
    <w:p>
      <w:pPr>
        <w:spacing w:before="120" w:after="120"/>
      </w:pP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ПРИЛОЖЕНИЕ Д. Графические материалы и скриншоты экранов пользовательского интерфейса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Макет Д.1 — Архитектура главного экрана платформы «PRIKLAD»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F5F1EB"/>
            <w:tcBorders>
              <w:top w:val="none"/>
              <w:left w:val="single" w:sz="24" w:space="0" w:color="75523C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Consolas" w:hAnsi="Consolas"/>
                <w:color w:val="332211"/>
                <w:sz w:val="19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📐 PRIKLAD  |  Интерактивный учебник: Прикладные методы алгебры и анализа            │</w:t>
              <w:br/>
              <w:t>│ [☕ МОДУЛЬ 1: Пространства ]   [ МОДУЛЬ 2: Операторы ]   [ МОДУЛЬ 3: SVD и тензоры ]   │</w:t>
              <w:br/>
              <w:t>├──────────────────────────────┬─────────────────────────────────────────────────────────┤</w:t>
              <w:br/>
              <w:t>│ 📚 Навигация по курсу        │ 🎧 АУДИОПЛЕЕР: [ ▶ Слушать ] [ ⏹ Стоп ] Скорость: [1.0x]│</w:t>
              <w:br/>
              <w:t>│                              │ Голос: [ Microsoft Irina - Russian (Natural)          ▼]│</w:t>
              <w:br/>
              <w:t>│ [Прогресс: 8 / 10 (80%)]     ├─────────────────────────────────────────────────────────┤</w:t>
              <w:br/>
              <w:t>│ [████████████████░░░░]       │                                                         │</w:t>
              <w:br/>
              <w:t>│                              │ 1.8 Нормы и метрические пространства                    │</w:t>
              <w:br/>
              <w:t>│ ✓ 1.1 От задачи к абстракции │ Векторная норма ||x|| обобщает понятие длины вектора... │</w:t>
              <w:br/>
              <w:t>│ ✓ 1.2 Аксиоматика R^d        │                                                         │</w:t>
              <w:br/>
              <w:t>│ ✓ 1.3 Линейная оболочка Span │ ┌─────────────────────────────────────────────────────┐ │</w:t>
              <w:br/>
              <w:t>│ ✓ 1.4 Зависимость векторов   │ │ 🎮 ИНТЕРАКТИВНЫЙ СТЕНД: Единичные тела норм L_p     │ │</w:t>
              <w:br/>
              <w:t>│ ✓ 1.5 Базис и размерность    │ │                                                     │ │</w:t>
              <w:br/>
              <w:t>│ ✓ 1.6 Ранг и метод Гаусса    │ │     Параметр p: [====●=================] p = 1.0     │ │</w:t>
              <w:br/>
              <w:t>│ ✓ 1.7 Скалярное произведение │ │     [•] 2D Сечение       ( ) 3D WebGL Объем         │ │</w:t>
              <w:br/>
              <w:t>│ • 1.8 Нормы и единичные тела │ │                                                     │ │</w:t>
              <w:br/>
              <w:t>│ 🔒 1.9 Геометрия Lasso/Ridge │ │                   /\       (Форма L1: ромб)         │ │</w:t>
              <w:br/>
              <w:t>│ 🔒 1.10 Векторы в Attention  │ │                  /  \                               │ │</w:t>
              <w:br/>
              <w:t>│                              │ │                 /    \                              │ │</w:t>
              <w:br/>
              <w:t>│ 📋 ПРАКТИЧЕСКИЙ БЛОК         │ │                 \    /                              │ │</w:t>
              <w:br/>
              <w:t>│ 🔒 Контрольные вопросы       │ │                  \  /                               │ │</w:t>
              <w:br/>
              <w:t>│ 🔒 Семинар (20 вариантов)    │ │                   \/                                │ │</w:t>
              <w:br/>
              <w:t>│ 🔒 Лабораторный практикум    │ └─────────────────────────────────────────────────────┘ │</w:t>
              <w:br/>
              <w:t>│                              │                                                         │</w:t>
              <w:br/>
              <w:t>│                              │ 📝 КОНТРОЛЬНЫЙ ВОПРОС ДЛЯ ПЕРЕХОДА:                     │</w:t>
              <w:br/>
              <w:t>│ [Сбросить]   [Открыть всё 🔓]│ Сравните расстояние L2 и косинусное сходство при v = 4u │</w:t>
              <w:br/>
              <w:t>│                              │ ( ) Расстояние 0, косинус 4                             │</w:t>
              <w:br/>
              <w:t>│                              │ (●) Расстояние выросло в 3 раза, косинус равен 1 (верно)│</w:t>
              <w:br/>
              <w:t>│                              │ [ Проверить ответ ]     [ Перейти к 1.9 Lasso/Ridge → ] │</w:t>
              <w:br/>
              <w:t>└──────────────────────────────┴─────────────────────────────────────────────────────────┘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80" w:after="80"/>
      </w:pPr>
    </w:p>
    <w:p>
      <w:pPr>
        <w:spacing w:before="80" w:after="200" w:line="288" w:lineRule="auto"/>
        <w:ind w:firstLine="0"/>
        <w:jc w:val="center"/>
      </w:pPr>
      <w:r>
        <w:rPr>
          <w:rFonts w:ascii="Times New Roman" w:hAnsi="Times New Roman"/>
          <w:i/>
          <w:color w:val="444444"/>
          <w:sz w:val="24"/>
        </w:rPr>
        <w:t>Рисунок Д.1 — Схематическое представление интерфейса платформы «PRIKLAD» в дизайн-системе «Coffee &amp; Porcelain»</w:t>
      </w:r>
    </w:p>
    <w:p>
      <w:pPr>
        <w:spacing w:before="280" w:after="160" w:line="312" w:lineRule="auto"/>
        <w:ind w:firstLine="706"/>
        <w:jc w:val="left"/>
      </w:pPr>
      <w:r>
        <w:rPr>
          <w:rFonts w:ascii="Times New Roman" w:hAnsi="Times New Roman"/>
          <w:b/>
          <w:sz w:val="28"/>
        </w:rPr>
        <w:t>Макет Д.2 — Интерактивный 3D-стенд расщепления решений СЛАУ (Модуль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F5F1EB"/>
            <w:tcBorders>
              <w:top w:val="none"/>
              <w:left w:val="single" w:sz="24" w:space="0" w:color="75523C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76" w:lineRule="auto" w:before="40" w:after="40"/>
              <w:ind w:firstLine="0"/>
            </w:pPr>
            <w:r>
              <w:rPr>
                <w:rFonts w:ascii="Consolas" w:hAnsi="Consolas"/>
                <w:color w:val="332211"/>
                <w:sz w:val="19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🎮 3D-Лаборатория расщепления решений: x = x_част + Ker(A)               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Управление параметрами ядра:                                                           │</w:t>
              <w:br/>
              <w:t>│ Свободная переменная c1: [========●=======]  c1 = 0.40                                 │</w:t>
              <w:br/>
              <w:t>│ Свободная переменная c2: [=====●==========]  c2 = -0.80                                │</w:t>
              <w:br/>
              <w:t>│                                                                                        │</w:t>
              <w:br/>
              <w:t>│     Z ^                         .---------------------. (Плоскость решений Ax = b)     │</w:t>
              <w:br/>
              <w:t>│       |                        /       x (Вектор)    /                                 │</w:t>
              <w:br/>
              <w:t>│       |                       /        ●            /                                  │</w:t>
              <w:br/>
              <w:t>│       |                      /        /            /                                   │</w:t>
              <w:br/>
              <w:t>│       |                     /   x_част            /                                    │</w:t>
              <w:br/>
              <w:t>│       |                    /      ●              /                                     │</w:t>
              <w:br/>
              <w:t>│       +-------------------+---------------------+--------&gt; Y                          │</w:t>
              <w:br/>
              <w:t>│      /                   /                     /                                       │</w:t>
              <w:br/>
              <w:t>│     /                   /                     /                                        │</w:t>
              <w:br/>
              <w:t>│    /                   .---------------------.                                         │</w:t>
              <w:br/>
              <w:t>│   v X                   (Гиперплоскость ядра Ker(A) через ноль)                        │</w:t>
              <w:br/>
              <w:t>│                                                                                        │</w:t>
              <w:br/>
              <w:t>│ Онлайн-верификация: A * x = [ 3.000, -1.000, 4.000 ]^T == b  [ ✓ СЛАУ ТОЖДЕСТВЕННА ]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80" w:after="80"/>
      </w:pPr>
    </w:p>
    <w:p>
      <w:pPr>
        <w:spacing w:before="80" w:after="200" w:line="288" w:lineRule="auto"/>
        <w:ind w:firstLine="0"/>
        <w:jc w:val="center"/>
      </w:pPr>
      <w:r>
        <w:rPr>
          <w:rFonts w:ascii="Times New Roman" w:hAnsi="Times New Roman"/>
          <w:i/>
          <w:color w:val="444444"/>
          <w:sz w:val="24"/>
        </w:rPr>
        <w:t>Рисунок Д.2 — Визуализация аффинного многообразия решений и подпространства ядра в 3D</w:t>
      </w:r>
    </w:p>
    <w:p>
      <w:pPr>
        <w:spacing w:line="360" w:lineRule="auto" w:after="0" w:before="0"/>
        <w:ind w:firstLine="706"/>
        <w:jc w:val="both"/>
      </w:pPr>
      <w:r>
        <w:rPr>
          <w:rFonts w:ascii="Times New Roman" w:hAnsi="Times New Roman"/>
          <w:i/>
          <w:sz w:val="28"/>
        </w:rPr>
        <w:t>(Конец текста выпускной квалификационной работы)</w:t>
      </w:r>
    </w:p>
    <w:sectPr w:rsidR="00FC693F" w:rsidRPr="0006063C" w:rsidSect="00034616">
      <w:footerReference w:type="default" r:id="rId9"/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color w:val="222222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