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ENTREGABLE N°9: MODELADO 3D/AVANCE PROTOTIPADO ELECTRÓNICO.PLAN DE USABILIDAD BASADO EN EVIDENCIAS</w:t>
      </w:r>
    </w:p>
    <w:p w:rsidR="00000000" w:rsidDel="00000000" w:rsidP="00000000" w:rsidRDefault="00000000" w:rsidRPr="00000000" w14:paraId="00000002">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Electronico</w:t>
      </w:r>
    </w:p>
    <w:p w:rsidR="00000000" w:rsidDel="00000000" w:rsidP="00000000" w:rsidRDefault="00000000" w:rsidRPr="00000000" w14:paraId="00000004">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p w:rsidR="00000000" w:rsidDel="00000000" w:rsidP="00000000" w:rsidRDefault="00000000" w:rsidRPr="00000000" w14:paraId="00000007">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Fabricación digital</w:t>
      </w:r>
    </w:p>
    <w:p w:rsidR="00000000" w:rsidDel="00000000" w:rsidP="00000000" w:rsidRDefault="00000000" w:rsidRPr="00000000" w14:paraId="0000000A">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Prototipo completo:</w:t>
      </w:r>
    </w:p>
    <w:p w:rsidR="00000000" w:rsidDel="00000000" w:rsidP="00000000" w:rsidRDefault="00000000" w:rsidRPr="00000000" w14:paraId="0000000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left="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250124</wp:posOffset>
            </wp:positionV>
            <wp:extent cx="2909888" cy="3293506"/>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909888" cy="329350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202025</wp:posOffset>
            </wp:positionV>
            <wp:extent cx="3212269" cy="3518199"/>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12269" cy="3518199"/>
                    </a:xfrm>
                    <a:prstGeom prst="rect"/>
                    <a:ln/>
                  </pic:spPr>
                </pic:pic>
              </a:graphicData>
            </a:graphic>
          </wp:anchor>
        </w:drawing>
      </w:r>
    </w:p>
    <w:p w:rsidR="00000000" w:rsidDel="00000000" w:rsidP="00000000" w:rsidRDefault="00000000" w:rsidRPr="00000000" w14:paraId="0000000E">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Planos:</w:t>
      </w:r>
    </w:p>
    <w:p w:rsidR="00000000" w:rsidDel="00000000" w:rsidP="00000000" w:rsidRDefault="00000000" w:rsidRPr="00000000" w14:paraId="0000002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Ratchet</w:t>
      </w:r>
    </w:p>
    <w:p w:rsidR="00000000" w:rsidDel="00000000" w:rsidP="00000000" w:rsidRDefault="00000000" w:rsidRPr="00000000" w14:paraId="0000002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9163" cy="4053938"/>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259163" cy="40539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22942" cy="3882983"/>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22942" cy="388298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2433" cy="3941374"/>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172433" cy="394137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3025" cy="399882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53025" cy="39988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Agarre</w:t>
      </w:r>
    </w:p>
    <w:p w:rsidR="00000000" w:rsidDel="00000000" w:rsidP="00000000" w:rsidRDefault="00000000" w:rsidRPr="00000000" w14:paraId="0000002A">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08654" cy="3767138"/>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08654"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6665" cy="3539465"/>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76665" cy="353946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Palanca</w: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47564" cy="375385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47564" cy="37538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59762" cy="3833813"/>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959762" cy="383381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065256" cy="3922373"/>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065256" cy="392237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072063" cy="3925163"/>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072063" cy="39251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usabilidad basado en evidencias</w:t>
      </w:r>
    </w:p>
    <w:p w:rsidR="00000000" w:rsidDel="00000000" w:rsidP="00000000" w:rsidRDefault="00000000" w:rsidRPr="00000000" w14:paraId="00000033">
      <w:pPr>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Contexto de uso:</w:t>
      </w:r>
    </w:p>
    <w:p w:rsidR="00000000" w:rsidDel="00000000" w:rsidP="00000000" w:rsidRDefault="00000000" w:rsidRPr="00000000" w14:paraId="0000003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dispositivo está pensado para el paciente Palacios, quien busca recuperar parte de su independencia en la movilidad diaria. Su entorno principal es el Instituto Nacional de Rehabilitación, donde realiza terapias y evaluaciones periódicas, aunque también se espera su uso en espacios domésticos adaptados, como su hogar, pasillos interiores o patios con superficie estable. La silla de ruedas con palanca ajustable está diseñada para aprovechar el movimiento residual de sus brazos y hombros, permitiéndole desplazarse con menor esfuerzo físico y sin requerir asistencia constante. Su uso sería frecuente y prolongado, tanto en sesiones de rehabilitación como en actividades cotidianas simples. Un cuidador o fisioterapeuta podría ayudar con ajustes iniciales del dispositivo o con el posicionamiento del paciente, pero la meta principal es que el usuario pueda accionar la palanca y controlar su desplazamiento de forma independiente, promoviendo su autonomía.</w:t>
      </w:r>
    </w:p>
    <w:p w:rsidR="00000000" w:rsidDel="00000000" w:rsidP="00000000" w:rsidRDefault="00000000" w:rsidRPr="00000000" w14:paraId="00000036">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Perfil de usuario: </w:t>
      </w:r>
    </w:p>
    <w:p w:rsidR="00000000" w:rsidDel="00000000" w:rsidP="00000000" w:rsidRDefault="00000000" w:rsidRPr="00000000" w14:paraId="0000003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paciente Palacios, sufrió una lesión medular en la vértebra C3 tras un accidente de tránsito, lo que le generó una cuadriplejia completa (grado A). A pesar de su condición, conserva cierta movilidad en los brazos y hombros gracias a una zona de preservación parcial (ZPP), lo que le permite realizar movimientos de empuje. No tiene control del tronco ni de las piernas, por lo que depende del apoyo de cuidadores para la mayoría de sus actividades diarias. En cuanto a sus capacidades cognitivas, el paciente se mantiene completamente lúcido. Durante la entrevista se mostró motivado y con gran interés en recuperar parte de su independencia, especialmente en actividades que le permitan sentirse en control de su entorno. Poder desplazarse por sus propios medios no solo representa una mejora funcional, sino también un logro personal que impacta directamente en su autoestima y bienestar emocional.</w:t>
      </w:r>
    </w:p>
    <w:p w:rsidR="00000000" w:rsidDel="00000000" w:rsidP="00000000" w:rsidRDefault="00000000" w:rsidRPr="00000000" w14:paraId="00000039">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Análisis de tareas:</w:t>
      </w:r>
    </w:p>
    <w:p w:rsidR="00000000" w:rsidDel="00000000" w:rsidP="00000000" w:rsidRDefault="00000000" w:rsidRPr="00000000" w14:paraId="0000003B">
      <w:pPr>
        <w:ind w:left="0" w:firstLine="0"/>
        <w:jc w:val="left"/>
        <w:rPr>
          <w:rFonts w:ascii="Times New Roman" w:cs="Times New Roman" w:eastAsia="Times New Roman" w:hAnsi="Times New Roman"/>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265"/>
        <w:gridCol w:w="1770"/>
        <w:gridCol w:w="1065"/>
        <w:gridCol w:w="2535"/>
        <w:tblGridChange w:id="0">
          <w:tblGrid>
            <w:gridCol w:w="1665"/>
            <w:gridCol w:w="2265"/>
            <w:gridCol w:w="1770"/>
            <w:gridCol w:w="1065"/>
            <w:gridCol w:w="253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(Primer uso, Uso cotidiano,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Posicionar la silla de ruedas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Ubicar la silla en un espacio adecuado para el montaje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 sin el usuario encima.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Sujetar el dispositivo al eje de las ruedas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Acoplar el mecanismo ratchet al eje de la rueda y fijar la estructura a las barras de la silla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mal acoplamiento impide el movimiento de la silla y podría llegar a causar desgaste acelerado de las piezas o desprenderse de la silla ocasionando que no se pueda frenar.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largo de palanca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la longitud de la varilla según ergonomía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Afecta comodidad pero no seguridad inmediata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Colocar correas de sujeción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Fijar las correas de tela resistente en la mano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 y 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deslizamiento puede provocar pérdida de contacto con la palanca y desplazamientos involuntarios o caídas.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Capacitación para su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funcionamiento del controlador de rotación (avance/retroceso/inmóvil)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Importante pero se refuerza con práctica supervisada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posición del 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Confirmar visualmente si está en avance, retroceso o inmóvil antes de propulsar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dirección incorrecta puede causar movimientos inesperados, colisiones o pérdida de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selector a dirección deseada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Manipular el controlador de rotación según movimiento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 incorrecto resulta en desplazamiento opuesto al deseado, con riesgo de accidentes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Ejecutar movimiento de palanca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empuje repetitivo hacia adelante para propulsar la silla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 principal pero protegida por topes mecánicos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a modo inmóvil para detenerse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Activar posición de frenado del selector antes de desacoplarse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hacerlo puede resultar en movimiento de la silla sin control del usuario al soltar las correas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Desacoplar correas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Liberar las manos de las correas de sujeción al finalizar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cotidiano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Tarea final sin riesgo si el modo inmóvil está activado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estado de resortes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periódicamente el funcionamiento de los resortes de retorno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Resortes desgastados impiden el retorno automático de la palanca, afectando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y lubricar mecanismo ratchet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encaje correcto y aplicar lubricación preventiva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sin lubricación puede "saltar" o no acoplar, impidiendo transmisión de movimiento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engranajes y piezas de 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desgaste de componentes de acero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Mecanismo sin lubricación puede "saltar" o no acoplar, impidiendo transmisión de movimiento</w:t>
            </w:r>
          </w:p>
        </w:tc>
      </w:tr>
    </w:tbl>
    <w:p w:rsidR="00000000" w:rsidDel="00000000" w:rsidP="00000000" w:rsidRDefault="00000000" w:rsidRPr="00000000" w14:paraId="00000082">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éxito:</w:t>
      </w:r>
    </w:p>
    <w:p w:rsidR="00000000" w:rsidDel="00000000" w:rsidP="00000000" w:rsidRDefault="00000000" w:rsidRPr="00000000" w14:paraId="0000008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la usabilidad y funcionamiento de nuestro sistema de tracción asistida para un paciente con lesión medular a nivel C3, definimos criterios que permitirán verificar si el dispositivo cumple con los requisitos mínimos de eficacia, seguridad y facilidad de uso.</w:t>
      </w:r>
    </w:p>
    <w:p w:rsidR="00000000" w:rsidDel="00000000" w:rsidP="00000000" w:rsidRDefault="00000000" w:rsidRPr="00000000" w14:paraId="00000085">
      <w:pPr>
        <w:ind w:left="0" w:firstLine="0"/>
        <w:jc w:val="left"/>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Característica / Métrica Objetiva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lograr activar el modo de tracción en menos de 2 intentos y completar el movimiento de avance sin asistencia externa.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Eficiencia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acción de activar/desactivar el sistema mediante el switch debe realizarse en menos de 2 segundos y sin requerir movimientos finos de los dedos.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Satisfaccion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indicar que se siente cómodo usando el sistema y que lo entiende bien, con una calificación de 4 de 5 o más en una escala simple de comodidad y facilidad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uso no deben ocurrir fallas del mecanismo de rachet (0 trabas), ni riesgos mecánicos (0 lesiones), y el sistema debe ser capaz de soportar su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Comprensibilidad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El usuario debe identificar correctamente el modo TRACCIÓN o LIBRE mediante el LED con una tasa de acierto ≥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Esfuerzo físico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fuerza necesaria en las palancas no debe superar aproximadamente los 20 N, para ser compatible con la fuerza máxima generada por un paciente con lesión C3. [1]</w:t>
            </w:r>
          </w:p>
        </w:tc>
      </w:tr>
    </w:tbl>
    <w:p w:rsidR="00000000" w:rsidDel="00000000" w:rsidP="00000000" w:rsidRDefault="00000000" w:rsidRPr="00000000" w14:paraId="00000094">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96">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 Hoffman, T. Sierro, T. Niu, M. E. Sarino, M. Sarrafzadeh, D. McArthur, V. R. Edgerton, and D. C. Lu, “Rehabilitation of hand function after spinal cord injury using a novel handgrip device: a pilot study,” Journal of NeuroEngineering and Rehabilitation, vol. 14, no. 1, Art. no. 22, Mar. 2017, doi: 10.1186/s12984-017-0234-1.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