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APP</w:t>
      </w:r>
    </w:p>
    <w:p>
      <w:pPr>
        <w:jc w:val="center"/>
      </w:pPr>
      <w:r>
        <w:rPr>
          <w:b/>
          <w:sz w:val="34"/>
        </w:rPr>
        <w:t>Registro de modificaciones importantes</w:t>
      </w:r>
    </w:p>
    <w:p>
      <w:pPr>
        <w:jc w:val="center"/>
      </w:pPr>
      <w:r>
        <w:t>Estado: Registro vivo de decisiones</w:t>
        <w:br/>
        <w:t>Versión: 1.0</w:t>
        <w:br/>
        <w:t>Fecha inicial: 2 de septiembre de 2026</w:t>
        <w:br/>
        <w:t>No sustituye ni sobrescribe los documentos base</w:t>
      </w:r>
    </w:p>
    <w:p>
      <w:r>
        <w:br w:type="page"/>
      </w:r>
    </w:p>
    <w:p>
      <w:pPr>
        <w:pStyle w:val="Heading1"/>
      </w:pPr>
      <w:r>
        <w:t>1. Objetivo</w:t>
      </w:r>
    </w:p>
    <w:p>
      <w:r>
        <w:rPr>
          <w:b w:val="0"/>
        </w:rPr>
        <w:t>Este documento funciona como registro de cambios arquitectónicos, funcionales y de producto que aparezcan después de emitir los documentos base de APP. Su finalidad es conservar intactas las versiones originales y evitar que una decisión nueva quede repartida únicamente entre conversaciones o notas informales.</w:t>
      </w:r>
    </w:p>
    <w:p>
      <w:r>
        <w:rPr>
          <w:b w:val="0"/>
        </w:rPr>
        <w:t>Documentos base actualmente considerados:</w:t>
      </w:r>
    </w:p>
    <w:p>
      <w:pPr>
        <w:pStyle w:val="ListBullet"/>
      </w:pPr>
      <w:r>
        <w:t>Especificación funcional, producto y arquitectura — V4 FINAL.</w:t>
      </w:r>
    </w:p>
    <w:p>
      <w:pPr>
        <w:pStyle w:val="ListBullet"/>
      </w:pPr>
      <w:r>
        <w:t>Documento 02 — Requisitos funcionales y no funcionales — v1.0.</w:t>
      </w:r>
    </w:p>
    <w:p>
      <w:pPr>
        <w:pStyle w:val="ListBullet"/>
      </w:pPr>
      <w:r>
        <w:t>Documento 03 — Arquitectura técnica — v1.0.</w:t>
      </w:r>
    </w:p>
    <w:p>
      <w:r>
        <w:rPr>
          <w:b w:val="0"/>
        </w:rPr>
        <w:t>Cuando exista suficiente acumulación de cambios o se alcance un hito importante, este registro servirá como fuente para generar una versión consolidada posterior, por ejemplo V5, Documento 02 v2.0 o Documento 03 v2.0. Hasta entonces, los documentos originales permanecen como línea base histórica.</w:t>
      </w:r>
    </w:p>
    <w:p>
      <w:pPr>
        <w:pStyle w:val="Heading1"/>
      </w:pPr>
      <w:r>
        <w:t>2. Reglas del registro</w:t>
      </w:r>
    </w:p>
    <w:p>
      <w:pPr>
        <w:pStyle w:val="ListBullet"/>
      </w:pPr>
      <w:r>
        <w:t>Cada modificación tendrá un identificador MOD-XXX.</w:t>
      </w:r>
    </w:p>
    <w:p>
      <w:pPr>
        <w:pStyle w:val="ListBullet"/>
      </w:pPr>
      <w:r>
        <w:t>Una modificación puede estar PROPUESTA, APROBADA, EN VALIDACIÓN, DESCARTADA o CONSOLIDADA.</w:t>
      </w:r>
    </w:p>
    <w:p>
      <w:pPr>
        <w:pStyle w:val="ListBullet"/>
      </w:pPr>
      <w:r>
        <w:t>APROBADA significa que forma parte de la dirección oficial del proyecto aunque todavía no se haya reescrito el documento base.</w:t>
      </w:r>
    </w:p>
    <w:p>
      <w:pPr>
        <w:pStyle w:val="ListBullet"/>
      </w:pPr>
      <w:r>
        <w:t>EN VALIDACIÓN significa que la idea requiere prototipo o investigación antes de convertirse en decisión.</w:t>
      </w:r>
    </w:p>
    <w:p>
      <w:pPr>
        <w:pStyle w:val="ListBullet"/>
      </w:pPr>
      <w:r>
        <w:t>CONSOLIDADA significa que ya fue incorporada a una nueva versión oficial de los documentos afectados.</w:t>
      </w:r>
    </w:p>
    <w:p>
      <w:pPr>
        <w:pStyle w:val="ListBullet"/>
      </w:pPr>
      <w:r>
        <w:t>Las propuestas no deberán interpretarse como requisitos obligatorios hasta ser aprobadas.</w:t>
      </w:r>
    </w:p>
    <w:p>
      <w:pPr>
        <w:pStyle w:val="ListBullet"/>
      </w:pPr>
      <w:r>
        <w:t>Si una modificación contradice una línea base anterior y está APROBADA, prevalecerá la modificación más reciente para el desarrollo futuro.</w:t>
      </w:r>
    </w:p>
    <w:p>
      <w:pPr>
        <w:pStyle w:val="Heading1"/>
      </w:pPr>
      <w:r>
        <w:t>3. Resumen de modificaciones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Modificación</w:t>
            </w:r>
          </w:p>
        </w:tc>
        <w:tc>
          <w:tcPr>
            <w:tcW w:type="dxa" w:w="2484"/>
          </w:tcPr>
          <w:p>
            <w:r>
              <w:t>Estado</w:t>
            </w:r>
          </w:p>
        </w:tc>
        <w:tc>
          <w:tcPr>
            <w:tcW w:type="dxa" w:w="2484"/>
          </w:tcPr>
          <w:p>
            <w:r>
              <w:t>Impacto</w:t>
            </w:r>
          </w:p>
        </w:tc>
      </w:tr>
      <w:tr>
        <w:tc>
          <w:tcPr>
            <w:tcW w:type="dxa" w:w="2484"/>
          </w:tcPr>
          <w:p>
            <w:r>
              <w:t>MOD-001</w:t>
            </w:r>
          </w:p>
        </w:tc>
        <w:tc>
          <w:tcPr>
            <w:tcW w:type="dxa" w:w="2484"/>
          </w:tcPr>
          <w:p>
            <w:r>
              <w:t>Route Intelligence propia + navegación multi-provider con fallback</w:t>
            </w:r>
          </w:p>
        </w:tc>
        <w:tc>
          <w:tcPr>
            <w:tcW w:type="dxa" w:w="2484"/>
          </w:tcPr>
          <w:p>
            <w:r>
              <w:t>APROBADA</w:t>
            </w:r>
          </w:p>
        </w:tc>
        <w:tc>
          <w:tcPr>
            <w:tcW w:type="dxa" w:w="2484"/>
          </w:tcPr>
          <w:p>
            <w:r>
              <w:t>Alto</w:t>
            </w:r>
          </w:p>
        </w:tc>
      </w:tr>
      <w:tr>
        <w:tc>
          <w:tcPr>
            <w:tcW w:type="dxa" w:w="2484"/>
          </w:tcPr>
          <w:p>
            <w:r>
              <w:t>MOD-002</w:t>
            </w:r>
          </w:p>
        </w:tc>
        <w:tc>
          <w:tcPr>
            <w:tcW w:type="dxa" w:w="2484"/>
          </w:tcPr>
          <w:p>
            <w:r>
              <w:t>Preparar tres familias de integración de navegación desde arquitectura</w:t>
            </w:r>
          </w:p>
        </w:tc>
        <w:tc>
          <w:tcPr>
            <w:tcW w:type="dxa" w:w="2484"/>
          </w:tcPr>
          <w:p>
            <w:r>
              <w:t>APROBADA</w:t>
            </w:r>
          </w:p>
        </w:tc>
        <w:tc>
          <w:tcPr>
            <w:tcW w:type="dxa" w:w="2484"/>
          </w:tcPr>
          <w:p>
            <w:r>
              <w:t>Medio/Alto</w:t>
            </w:r>
          </w:p>
        </w:tc>
      </w:tr>
      <w:tr>
        <w:tc>
          <w:tcPr>
            <w:tcW w:type="dxa" w:w="2484"/>
          </w:tcPr>
          <w:p>
            <w:r>
              <w:t>MOD-003</w:t>
            </w:r>
          </w:p>
        </w:tc>
        <w:tc>
          <w:tcPr>
            <w:tcW w:type="dxa" w:w="2484"/>
          </w:tcPr>
          <w:p>
            <w:r>
              <w:t>Catálogo de capacidades y resolución por fuente, no por navegador</w:t>
            </w:r>
          </w:p>
        </w:tc>
        <w:tc>
          <w:tcPr>
            <w:tcW w:type="dxa" w:w="2484"/>
          </w:tcPr>
          <w:p>
            <w:r>
              <w:t>APROBADA</w:t>
            </w:r>
          </w:p>
        </w:tc>
        <w:tc>
          <w:tcPr>
            <w:tcW w:type="dxa" w:w="2484"/>
          </w:tcPr>
          <w:p>
            <w:r>
              <w:t>Medio</w:t>
            </w:r>
          </w:p>
        </w:tc>
      </w:tr>
      <w:tr>
        <w:tc>
          <w:tcPr>
            <w:tcW w:type="dxa" w:w="2484"/>
          </w:tcPr>
          <w:p>
            <w:r>
              <w:t>MOD-004</w:t>
            </w:r>
          </w:p>
        </w:tc>
        <w:tc>
          <w:tcPr>
            <w:tcW w:type="dxa" w:w="2484"/>
          </w:tcPr>
          <w:p>
            <w:r>
              <w:t>Política de frescura y confianza para datos contextuales</w:t>
            </w:r>
          </w:p>
        </w:tc>
        <w:tc>
          <w:tcPr>
            <w:tcW w:type="dxa" w:w="2484"/>
          </w:tcPr>
          <w:p>
            <w:r>
              <w:t>PROPUESTA</w:t>
            </w:r>
          </w:p>
        </w:tc>
        <w:tc>
          <w:tcPr>
            <w:tcW w:type="dxa" w:w="2484"/>
          </w:tcPr>
          <w:p>
            <w:r>
              <w:t>Medio</w:t>
            </w:r>
          </w:p>
        </w:tc>
      </w:tr>
      <w:tr>
        <w:tc>
          <w:tcPr>
            <w:tcW w:type="dxa" w:w="2484"/>
          </w:tcPr>
          <w:p>
            <w:r>
              <w:t>MOD-005</w:t>
            </w:r>
          </w:p>
        </w:tc>
        <w:tc>
          <w:tcPr>
            <w:tcW w:type="dxa" w:w="2484"/>
          </w:tcPr>
          <w:p>
            <w:r>
              <w:t>Capability Registry general del dispositivo e integraciones</w:t>
            </w:r>
          </w:p>
        </w:tc>
        <w:tc>
          <w:tcPr>
            <w:tcW w:type="dxa" w:w="2484"/>
          </w:tcPr>
          <w:p>
            <w:r>
              <w:t>PROPUESTA</w:t>
            </w:r>
          </w:p>
        </w:tc>
        <w:tc>
          <w:tcPr>
            <w:tcW w:type="dxa" w:w="2484"/>
          </w:tcPr>
          <w:p>
            <w:r>
              <w:t>Medio</w:t>
            </w:r>
          </w:p>
        </w:tc>
      </w:tr>
      <w:tr>
        <w:tc>
          <w:tcPr>
            <w:tcW w:type="dxa" w:w="2484"/>
          </w:tcPr>
          <w:p>
            <w:r>
              <w:t>MOD-006</w:t>
            </w:r>
          </w:p>
        </w:tc>
        <w:tc>
          <w:tcPr>
            <w:tcW w:type="dxa" w:w="2484"/>
          </w:tcPr>
          <w:p>
            <w:r>
              <w:t>Modo simulación/replay para probar viajes sin conducir</w:t>
            </w:r>
          </w:p>
        </w:tc>
        <w:tc>
          <w:tcPr>
            <w:tcW w:type="dxa" w:w="2484"/>
          </w:tcPr>
          <w:p>
            <w:r>
              <w:t>PROPUESTA</w:t>
            </w:r>
          </w:p>
        </w:tc>
        <w:tc>
          <w:tcPr>
            <w:tcW w:type="dxa" w:w="2484"/>
          </w:tcPr>
          <w:p>
            <w:r>
              <w:t>Alto</w:t>
            </w:r>
          </w:p>
        </w:tc>
      </w:tr>
      <w:tr>
        <w:tc>
          <w:tcPr>
            <w:tcW w:type="dxa" w:w="2484"/>
          </w:tcPr>
          <w:p>
            <w:r>
              <w:t>MOD-007</w:t>
            </w:r>
          </w:p>
        </w:tc>
        <w:tc>
          <w:tcPr>
            <w:tcW w:type="dxa" w:w="2484"/>
          </w:tcPr>
          <w:p>
            <w:r>
              <w:t>Versionado explícito de memoria aprendida y procedencia</w:t>
            </w:r>
          </w:p>
        </w:tc>
        <w:tc>
          <w:tcPr>
            <w:tcW w:type="dxa" w:w="2484"/>
          </w:tcPr>
          <w:p>
            <w:r>
              <w:t>PROPUESTA</w:t>
            </w:r>
          </w:p>
        </w:tc>
        <w:tc>
          <w:tcPr>
            <w:tcW w:type="dxa" w:w="2484"/>
          </w:tcPr>
          <w:p>
            <w:r>
              <w:t>Medio</w:t>
            </w:r>
          </w:p>
        </w:tc>
      </w:tr>
      <w:tr>
        <w:tc>
          <w:tcPr>
            <w:tcW w:type="dxa" w:w="2484"/>
          </w:tcPr>
          <w:p>
            <w:r>
              <w:t>MOD-008</w:t>
            </w:r>
          </w:p>
        </w:tc>
        <w:tc>
          <w:tcPr>
            <w:tcW w:type="dxa" w:w="2484"/>
          </w:tcPr>
          <w:p>
            <w:r>
              <w:t>Feature flags para funciones experimentales</w:t>
            </w:r>
          </w:p>
        </w:tc>
        <w:tc>
          <w:tcPr>
            <w:tcW w:type="dxa" w:w="2484"/>
          </w:tcPr>
          <w:p>
            <w:r>
              <w:t>PROPUESTA</w:t>
            </w:r>
          </w:p>
        </w:tc>
        <w:tc>
          <w:tcPr>
            <w:tcW w:type="dxa" w:w="2484"/>
          </w:tcPr>
          <w:p>
            <w:r>
              <w:t>Bajo/Medio</w:t>
            </w:r>
          </w:p>
        </w:tc>
      </w:tr>
    </w:tbl>
    <w:p>
      <w:pPr>
        <w:pStyle w:val="Heading1"/>
      </w:pPr>
      <w:r>
        <w:t>4. Modificaciones aprobadas</w:t>
      </w:r>
    </w:p>
    <w:p>
      <w:pPr>
        <w:pStyle w:val="Heading2"/>
      </w:pPr>
      <w:r>
        <w:t>MOD-001 — Route Intelligence propia y fallback de navegación</w:t>
      </w:r>
    </w:p>
    <w:tbl>
      <w:tblPr>
        <w:tblStyle w:val="TableGrid"/>
        <w:tblW w:type="auto" w:w="0"/>
        <w:tblLook w:firstColumn="1" w:firstRow="1" w:lastColumn="0" w:lastRow="0" w:noHBand="0" w:noVBand="1" w:val="04A0"/>
      </w:tblPr>
      <w:tblGrid>
        <w:gridCol w:w="4968"/>
        <w:gridCol w:w="4968"/>
      </w:tblGrid>
      <w:tr>
        <w:tc>
          <w:tcPr>
            <w:tcW w:type="dxa" w:w="4968"/>
          </w:tcPr>
          <w:p>
            <w:r>
              <w:t>Campo</w:t>
            </w:r>
          </w:p>
        </w:tc>
        <w:tc>
          <w:tcPr>
            <w:tcW w:type="dxa" w:w="4968"/>
          </w:tcPr>
          <w:p>
            <w:r>
              <w:t>Valor</w:t>
            </w:r>
          </w:p>
        </w:tc>
      </w:tr>
      <w:tr>
        <w:tc>
          <w:tcPr>
            <w:tcW w:type="dxa" w:w="4968"/>
          </w:tcPr>
          <w:p>
            <w:r>
              <w:t>Estado</w:t>
            </w:r>
          </w:p>
        </w:tc>
        <w:tc>
          <w:tcPr>
            <w:tcW w:type="dxa" w:w="4968"/>
          </w:tcPr>
          <w:p>
            <w:r>
              <w:t>APROBADA</w:t>
            </w:r>
          </w:p>
        </w:tc>
      </w:tr>
      <w:tr>
        <w:tc>
          <w:tcPr>
            <w:tcW w:type="dxa" w:w="4968"/>
          </w:tcPr>
          <w:p>
            <w:r>
              <w:t>Origen</w:t>
            </w:r>
          </w:p>
        </w:tc>
        <w:tc>
          <w:tcPr>
            <w:tcW w:type="dxa" w:w="4968"/>
          </w:tcPr>
          <w:p>
            <w:r>
              <w:t>Decisión posterior a Documento 03 v1.0</w:t>
            </w:r>
          </w:p>
        </w:tc>
      </w:tr>
      <w:tr>
        <w:tc>
          <w:tcPr>
            <w:tcW w:type="dxa" w:w="4968"/>
          </w:tcPr>
          <w:p>
            <w:r>
              <w:t>Impacto</w:t>
            </w:r>
          </w:p>
        </w:tc>
        <w:tc>
          <w:tcPr>
            <w:tcW w:type="dxa" w:w="4968"/>
          </w:tcPr>
          <w:p>
            <w:r>
              <w:t>Alto</w:t>
            </w:r>
          </w:p>
        </w:tc>
      </w:tr>
      <w:tr>
        <w:tc>
          <w:tcPr>
            <w:tcW w:type="dxa" w:w="4968"/>
          </w:tcPr>
          <w:p>
            <w:r>
              <w:t>Documentos afectados</w:t>
            </w:r>
          </w:p>
        </w:tc>
        <w:tc>
          <w:tcPr>
            <w:tcW w:type="dxa" w:w="4968"/>
          </w:tcPr>
          <w:p>
            <w:r>
              <w:t>V4 FINAL; Documento 02 v1.0; Documento 03 v1.0</w:t>
            </w:r>
          </w:p>
        </w:tc>
      </w:tr>
    </w:tbl>
    <w:p>
      <w:r>
        <w:rPr>
          <w:b/>
        </w:rPr>
        <w:t>Motivo / problema</w:t>
      </w:r>
    </w:p>
    <w:p>
      <w:r>
        <w:rPr>
          <w:b w:val="0"/>
        </w:rPr>
        <w:t>La línea base establece NavigationProvider y degradación elegante cuando un navegador no expone ETA, distancia, próximo giro u otro dato. Esto protege la arquitectura, pero puede trasladar innecesariamente las limitaciones de una aplicación externa a la experiencia del copiloto.</w:t>
      </w:r>
    </w:p>
    <w:p>
      <w:r>
        <w:rPr>
          <w:b/>
        </w:rPr>
        <w:t>Decisión o propuesta</w:t>
      </w:r>
    </w:p>
    <w:p>
      <w:r>
        <w:rPr>
          <w:b w:val="0"/>
        </w:rPr>
        <w:t>APP tendrá una capa propia de Route Intelligence que consolidará contexto de ruta a partir de fuentes confiables. El navegador elegido seguirá siendo una integración importante y normalmente la experiencia visual de navegación, pero no será la única fuente posible para responder preguntas de ruta. Cuando una capacidad no esté disponible directamente desde el NavigationProvider activo, APP intentará resolverla mediante su Context Engine, Route Intelligence y/o servicios autorizados. Solo si ninguna fuente confiable dispone del dato se ofrecerá una respuesta limitada.</w:t>
      </w:r>
    </w:p>
    <w:p>
      <w:r>
        <w:rPr>
          <w:b/>
        </w:rPr>
        <w:t>Cambios a aplicar cuando se consolide</w:t>
      </w:r>
    </w:p>
    <w:p>
      <w:pPr>
        <w:pStyle w:val="ListBullet"/>
      </w:pPr>
      <w:r>
        <w:t>Agregar conceptualmente RouteIntelligenceService o nombre equivalente.</w:t>
      </w:r>
    </w:p>
    <w:p>
      <w:pPr>
        <w:pStyle w:val="ListBullet"/>
      </w:pPr>
      <w:r>
        <w:t>Definir un NavigationContext común alimentable por más de una fuente.</w:t>
      </w:r>
    </w:p>
    <w:p>
      <w:pPr>
        <w:pStyle w:val="ListBullet"/>
      </w:pPr>
      <w:r>
        <w:t>Cambiar la regla «unsupported -&gt; degradar» por una cadena de resolución/fallback.</w:t>
      </w:r>
    </w:p>
    <w:p>
      <w:pPr>
        <w:pStyle w:val="ListBullet"/>
      </w:pPr>
      <w:r>
        <w:t>Mantener la prohibición de inventar ETA, giros, tráfico o rutas.</w:t>
      </w:r>
    </w:p>
    <w:p>
      <w:pPr>
        <w:pStyle w:val="ListBullet"/>
      </w:pPr>
      <w:r>
        <w:t>Conservar la aplicación de navegación seleccionada en primer plano cuando corresponda.</w:t>
      </w:r>
    </w:p>
    <w:p>
      <w:r>
        <w:rPr>
          <w:b/>
        </w:rPr>
        <w:t>Cadena conceptual aprobada:</w:t>
      </w:r>
    </w:p>
    <w:p>
      <w:r>
        <w:rPr>
          <w:b w:val="0"/>
        </w:rPr>
        <w:t>Solicitud de navegación → Context Engine → dato vigente disponible → NavigationProvider → Route Intelligence → servicio autorizado → respuesta limitada solo como último recurso.</w:t>
      </w:r>
    </w:p>
    <w:p>
      <w:pPr>
        <w:pStyle w:val="Heading2"/>
      </w:pPr>
      <w:r>
        <w:t>MOD-002 — Tres familias de integración de navegación preparadas</w:t>
      </w:r>
    </w:p>
    <w:tbl>
      <w:tblPr>
        <w:tblStyle w:val="TableGrid"/>
        <w:tblW w:type="auto" w:w="0"/>
        <w:tblLook w:firstColumn="1" w:firstRow="1" w:lastColumn="0" w:lastRow="0" w:noHBand="0" w:noVBand="1" w:val="04A0"/>
      </w:tblPr>
      <w:tblGrid>
        <w:gridCol w:w="4968"/>
        <w:gridCol w:w="4968"/>
      </w:tblGrid>
      <w:tr>
        <w:tc>
          <w:tcPr>
            <w:tcW w:type="dxa" w:w="4968"/>
          </w:tcPr>
          <w:p>
            <w:r>
              <w:t>Campo</w:t>
            </w:r>
          </w:p>
        </w:tc>
        <w:tc>
          <w:tcPr>
            <w:tcW w:type="dxa" w:w="4968"/>
          </w:tcPr>
          <w:p>
            <w:r>
              <w:t>Valor</w:t>
            </w:r>
          </w:p>
        </w:tc>
      </w:tr>
      <w:tr>
        <w:tc>
          <w:tcPr>
            <w:tcW w:type="dxa" w:w="4968"/>
          </w:tcPr>
          <w:p>
            <w:r>
              <w:t>Estado</w:t>
            </w:r>
          </w:p>
        </w:tc>
        <w:tc>
          <w:tcPr>
            <w:tcW w:type="dxa" w:w="4968"/>
          </w:tcPr>
          <w:p>
            <w:r>
              <w:t>APROBADA</w:t>
            </w:r>
          </w:p>
        </w:tc>
      </w:tr>
      <w:tr>
        <w:tc>
          <w:tcPr>
            <w:tcW w:type="dxa" w:w="4968"/>
          </w:tcPr>
          <w:p>
            <w:r>
              <w:t>Origen</w:t>
            </w:r>
          </w:p>
        </w:tc>
        <w:tc>
          <w:tcPr>
            <w:tcW w:type="dxa" w:w="4968"/>
          </w:tcPr>
          <w:p>
            <w:r>
              <w:t>Aclaración solicitada tras Documento 03 v1.0</w:t>
            </w:r>
          </w:p>
        </w:tc>
      </w:tr>
      <w:tr>
        <w:tc>
          <w:tcPr>
            <w:tcW w:type="dxa" w:w="4968"/>
          </w:tcPr>
          <w:p>
            <w:r>
              <w:t>Impacto</w:t>
            </w:r>
          </w:p>
        </w:tc>
        <w:tc>
          <w:tcPr>
            <w:tcW w:type="dxa" w:w="4968"/>
          </w:tcPr>
          <w:p>
            <w:r>
              <w:t>Medio/Alto</w:t>
            </w:r>
          </w:p>
        </w:tc>
      </w:tr>
      <w:tr>
        <w:tc>
          <w:tcPr>
            <w:tcW w:type="dxa" w:w="4968"/>
          </w:tcPr>
          <w:p>
            <w:r>
              <w:t>Documentos afectados</w:t>
            </w:r>
          </w:p>
        </w:tc>
        <w:tc>
          <w:tcPr>
            <w:tcW w:type="dxa" w:w="4968"/>
          </w:tcPr>
          <w:p>
            <w:r>
              <w:t>V4 FINAL; Documento 02 v1.0; Documento 03 v1.0</w:t>
            </w:r>
          </w:p>
        </w:tc>
      </w:tr>
    </w:tbl>
    <w:p>
      <w:r>
        <w:rPr>
          <w:b/>
        </w:rPr>
        <w:t>Motivo / problema</w:t>
      </w:r>
    </w:p>
    <w:p>
      <w:r>
        <w:rPr>
          <w:b w:val="0"/>
        </w:rPr>
        <w:t>El diseño menciona Waze, Google Maps y futuros proveedores, pero la intención del producto es evitar que el soporte multi-navegador sea una adaptación tardía.</w:t>
      </w:r>
    </w:p>
    <w:p>
      <w:r>
        <w:rPr>
          <w:b/>
        </w:rPr>
        <w:t>Decisión o propuesta</w:t>
      </w:r>
    </w:p>
    <w:p>
      <w:r>
        <w:rPr>
          <w:b w:val="0"/>
        </w:rPr>
        <w:t>La arquitectura dejará preparados desde el contrato tres tipos de implementación: WazeNavigationProvider, GoogleMapsNavigationProvider y GenericExternalNavigationProvider. El tercero actuará como integración genérica para navegadores compatibles mediante mecanismos estándar disponibles; proveedores específicos adicionales podrán reemplazar o ampliar este adaptador posteriormente.</w:t>
      </w:r>
    </w:p>
    <w:p>
      <w:r>
        <w:rPr>
          <w:b/>
        </w:rPr>
        <w:t>Cambios a aplicar cuando se consolide</w:t>
      </w:r>
    </w:p>
    <w:p>
      <w:pPr>
        <w:pStyle w:val="ListBullet"/>
      </w:pPr>
      <w:r>
        <w:t>Definir el contrato común sin implementar anticipadamente todas las funciones de los tres.</w:t>
      </w:r>
    </w:p>
    <w:p>
      <w:pPr>
        <w:pStyle w:val="ListBullet"/>
      </w:pPr>
      <w:r>
        <w:t>Reservar adapters/paquetes separados para Waze, Google Maps y navegación externa genérica.</w:t>
      </w:r>
    </w:p>
    <w:p>
      <w:pPr>
        <w:pStyle w:val="ListBullet"/>
      </w:pPr>
      <w:r>
        <w:t>Permitir selección de navegador preferido cuando exista más de una implementación funcional.</w:t>
      </w:r>
    </w:p>
    <w:p>
      <w:pPr>
        <w:pStyle w:val="ListBullet"/>
      </w:pPr>
      <w:r>
        <w:t>No considerar los tres proveedores como requisito de FASE 0; la preparación es arquitectónica.</w:t>
      </w:r>
    </w:p>
    <w:p>
      <w:pPr>
        <w:pStyle w:val="Heading2"/>
      </w:pPr>
      <w:r>
        <w:t>MOD-003 — Capacidades resueltas por fuente</w:t>
      </w:r>
    </w:p>
    <w:tbl>
      <w:tblPr>
        <w:tblStyle w:val="TableGrid"/>
        <w:tblW w:type="auto" w:w="0"/>
        <w:tblLook w:firstColumn="1" w:firstRow="1" w:lastColumn="0" w:lastRow="0" w:noHBand="0" w:noVBand="1" w:val="04A0"/>
      </w:tblPr>
      <w:tblGrid>
        <w:gridCol w:w="4968"/>
        <w:gridCol w:w="4968"/>
      </w:tblGrid>
      <w:tr>
        <w:tc>
          <w:tcPr>
            <w:tcW w:type="dxa" w:w="4968"/>
          </w:tcPr>
          <w:p>
            <w:r>
              <w:t>Campo</w:t>
            </w:r>
          </w:p>
        </w:tc>
        <w:tc>
          <w:tcPr>
            <w:tcW w:type="dxa" w:w="4968"/>
          </w:tcPr>
          <w:p>
            <w:r>
              <w:t>Valor</w:t>
            </w:r>
          </w:p>
        </w:tc>
      </w:tr>
      <w:tr>
        <w:tc>
          <w:tcPr>
            <w:tcW w:type="dxa" w:w="4968"/>
          </w:tcPr>
          <w:p>
            <w:r>
              <w:t>Estado</w:t>
            </w:r>
          </w:p>
        </w:tc>
        <w:tc>
          <w:tcPr>
            <w:tcW w:type="dxa" w:w="4968"/>
          </w:tcPr>
          <w:p>
            <w:r>
              <w:t>APROBADA</w:t>
            </w:r>
          </w:p>
        </w:tc>
      </w:tr>
      <w:tr>
        <w:tc>
          <w:tcPr>
            <w:tcW w:type="dxa" w:w="4968"/>
          </w:tcPr>
          <w:p>
            <w:r>
              <w:t>Origen</w:t>
            </w:r>
          </w:p>
        </w:tc>
        <w:tc>
          <w:tcPr>
            <w:tcW w:type="dxa" w:w="4968"/>
          </w:tcPr>
          <w:p>
            <w:r>
              <w:t>Derivada de MOD-001 y MOD-002</w:t>
            </w:r>
          </w:p>
        </w:tc>
      </w:tr>
      <w:tr>
        <w:tc>
          <w:tcPr>
            <w:tcW w:type="dxa" w:w="4968"/>
          </w:tcPr>
          <w:p>
            <w:r>
              <w:t>Impacto</w:t>
            </w:r>
          </w:p>
        </w:tc>
        <w:tc>
          <w:tcPr>
            <w:tcW w:type="dxa" w:w="4968"/>
          </w:tcPr>
          <w:p>
            <w:r>
              <w:t>Medio</w:t>
            </w:r>
          </w:p>
        </w:tc>
      </w:tr>
      <w:tr>
        <w:tc>
          <w:tcPr>
            <w:tcW w:type="dxa" w:w="4968"/>
          </w:tcPr>
          <w:p>
            <w:r>
              <w:t>Documentos afectados</w:t>
            </w:r>
          </w:p>
        </w:tc>
        <w:tc>
          <w:tcPr>
            <w:tcW w:type="dxa" w:w="4968"/>
          </w:tcPr>
          <w:p>
            <w:r>
              <w:t>Documento 02 v1.0; Documento 03 v1.0</w:t>
            </w:r>
          </w:p>
        </w:tc>
      </w:tr>
    </w:tbl>
    <w:p>
      <w:r>
        <w:rPr>
          <w:b/>
        </w:rPr>
        <w:t>Motivo / problema</w:t>
      </w:r>
    </w:p>
    <w:p>
      <w:r>
        <w:rPr>
          <w:b w:val="0"/>
        </w:rPr>
        <w:t>Una matriz de capacidades por navegador sigue siendo necesaria, pero no debe confundirse con una matriz de capacidades finales de APP.</w:t>
      </w:r>
    </w:p>
    <w:p>
      <w:r>
        <w:rPr>
          <w:b/>
        </w:rPr>
        <w:t>Decisión o propuesta</w:t>
      </w:r>
    </w:p>
    <w:p>
      <w:r>
        <w:rPr>
          <w:b w:val="0"/>
        </w:rPr>
        <w:t>NavigationCapabilities describirá lo que cada integración externa puede aportar o controlar. APP mantendrá además capacidades efectivas derivadas de todas las fuentes disponibles. Por ejemplo, Waze podría no exponer un ETA utilizable directamente, pero APP todavía podría disponer de ETA mediante Route Intelligence.</w:t>
      </w:r>
    </w:p>
    <w:p>
      <w:r>
        <w:rPr>
          <w:b/>
        </w:rPr>
        <w:t>Cambios a aplicar cuando se consolide</w:t>
      </w:r>
    </w:p>
    <w:p>
      <w:pPr>
        <w:pStyle w:val="ListBullet"/>
      </w:pPr>
      <w:r>
        <w:t>Separar ProviderCapabilities de AppNavigationCapabilities.</w:t>
      </w:r>
    </w:p>
    <w:p>
      <w:pPr>
        <w:pStyle w:val="ListBullet"/>
      </w:pPr>
      <w:r>
        <w:t>Registrar procedencia del dato cuando sea relevante para depuración.</w:t>
      </w:r>
    </w:p>
    <w:p>
      <w:pPr>
        <w:pStyle w:val="ListBullet"/>
      </w:pPr>
      <w:r>
        <w:t>Priorizar fuentes según confiabilidad, frescura y coste.</w:t>
      </w:r>
    </w:p>
    <w:p>
      <w:pPr>
        <w:pStyle w:val="ListBullet"/>
      </w:pPr>
      <w:r>
        <w:t>No mostrar al usuario detalles técnicos de fallback salvo que sean necesarios.</w:t>
      </w:r>
    </w:p>
    <w:p>
      <w:pPr>
        <w:pStyle w:val="Heading1"/>
      </w:pPr>
      <w:r>
        <w:t>5. Propuestas recomendadas para evaluación</w:t>
      </w:r>
    </w:p>
    <w:p>
      <w:r>
        <w:rPr>
          <w:b w:val="0"/>
        </w:rPr>
        <w:t>Las siguientes ideas surgen de revisar la línea base actual. No modifican todavía los requisitos oficiales; se registran para que no se pierdan y puedan aprobarse, ajustarse o descartarse más adelante.</w:t>
      </w:r>
    </w:p>
    <w:p>
      <w:pPr>
        <w:pStyle w:val="Heading2"/>
      </w:pPr>
      <w:r>
        <w:t>MOD-004 — Política de frescura y confianza de contexto</w:t>
      </w:r>
    </w:p>
    <w:tbl>
      <w:tblPr>
        <w:tblStyle w:val="TableGrid"/>
        <w:tblW w:type="auto" w:w="0"/>
        <w:tblLook w:firstColumn="1" w:firstRow="1" w:lastColumn="0" w:lastRow="0" w:noHBand="0" w:noVBand="1" w:val="04A0"/>
      </w:tblPr>
      <w:tblGrid>
        <w:gridCol w:w="4968"/>
        <w:gridCol w:w="4968"/>
      </w:tblGrid>
      <w:tr>
        <w:tc>
          <w:tcPr>
            <w:tcW w:type="dxa" w:w="4968"/>
          </w:tcPr>
          <w:p>
            <w:r>
              <w:t>Campo</w:t>
            </w:r>
          </w:p>
        </w:tc>
        <w:tc>
          <w:tcPr>
            <w:tcW w:type="dxa" w:w="4968"/>
          </w:tcPr>
          <w:p>
            <w:r>
              <w:t>Valor</w:t>
            </w:r>
          </w:p>
        </w:tc>
      </w:tr>
      <w:tr>
        <w:tc>
          <w:tcPr>
            <w:tcW w:type="dxa" w:w="4968"/>
          </w:tcPr>
          <w:p>
            <w:r>
              <w:t>Estado</w:t>
            </w:r>
          </w:p>
        </w:tc>
        <w:tc>
          <w:tcPr>
            <w:tcW w:type="dxa" w:w="4968"/>
          </w:tcPr>
          <w:p>
            <w:r>
              <w:t>PROPUESTA</w:t>
            </w:r>
          </w:p>
        </w:tc>
      </w:tr>
      <w:tr>
        <w:tc>
          <w:tcPr>
            <w:tcW w:type="dxa" w:w="4968"/>
          </w:tcPr>
          <w:p>
            <w:r>
              <w:t>Origen</w:t>
            </w:r>
          </w:p>
        </w:tc>
        <w:tc>
          <w:tcPr>
            <w:tcW w:type="dxa" w:w="4968"/>
          </w:tcPr>
          <w:p>
            <w:r>
              <w:t>Revisión de Context Engine y servicios online</w:t>
            </w:r>
          </w:p>
        </w:tc>
      </w:tr>
      <w:tr>
        <w:tc>
          <w:tcPr>
            <w:tcW w:type="dxa" w:w="4968"/>
          </w:tcPr>
          <w:p>
            <w:r>
              <w:t>Impacto</w:t>
            </w:r>
          </w:p>
        </w:tc>
        <w:tc>
          <w:tcPr>
            <w:tcW w:type="dxa" w:w="4968"/>
          </w:tcPr>
          <w:p>
            <w:r>
              <w:t>Medio</w:t>
            </w:r>
          </w:p>
        </w:tc>
      </w:tr>
      <w:tr>
        <w:tc>
          <w:tcPr>
            <w:tcW w:type="dxa" w:w="4968"/>
          </w:tcPr>
          <w:p>
            <w:r>
              <w:t>Documentos afectados</w:t>
            </w:r>
          </w:p>
        </w:tc>
        <w:tc>
          <w:tcPr>
            <w:tcW w:type="dxa" w:w="4968"/>
          </w:tcPr>
          <w:p>
            <w:r>
              <w:t>Documento 02 v1.0; Documento 03 v1.0</w:t>
            </w:r>
          </w:p>
        </w:tc>
      </w:tr>
    </w:tbl>
    <w:p>
      <w:r>
        <w:rPr>
          <w:b/>
        </w:rPr>
        <w:t>Motivo / problema</w:t>
      </w:r>
    </w:p>
    <w:p>
      <w:r>
        <w:rPr>
          <w:b w:val="0"/>
        </w:rPr>
        <w:t>APP combinará datos provenientes de GPS, navegador, APIs, caché y memoria. Dos fuentes pueden devolver valores diferentes o un dato puede quedar obsoleto.</w:t>
      </w:r>
    </w:p>
    <w:p>
      <w:r>
        <w:rPr>
          <w:b/>
        </w:rPr>
        <w:t>Decisión o propuesta</w:t>
      </w:r>
    </w:p>
    <w:p>
      <w:r>
        <w:rPr>
          <w:b w:val="0"/>
        </w:rPr>
        <w:t>Cada dato contextual sensible al tiempo podría acompañarse internamente de source, capturedAt/updatedAt, confidence o quality y expiration/freshness. Route Intelligence elegiría la mejor fuente válida en vez de aceptar simplemente el último valor recibido.</w:t>
      </w:r>
    </w:p>
    <w:p>
      <w:r>
        <w:rPr>
          <w:b/>
        </w:rPr>
        <w:t>Cambios a aplicar cuando se consolide</w:t>
      </w:r>
    </w:p>
    <w:p>
      <w:pPr>
        <w:pStyle w:val="ListBullet"/>
      </w:pPr>
      <w:r>
        <w:t>Definir ContextValue&lt;T&gt; o mecanismo equivalente solo donde aporte valor.</w:t>
      </w:r>
    </w:p>
    <w:p>
      <w:pPr>
        <w:pStyle w:val="ListBullet"/>
      </w:pPr>
      <w:r>
        <w:t>Aplicarlo especialmente a ETA, posición, clima, tráfico, destino y POI.</w:t>
      </w:r>
    </w:p>
    <w:p>
      <w:pPr>
        <w:pStyle w:val="ListBullet"/>
      </w:pPr>
      <w:r>
        <w:t>Evitar añadir metadata pesada a datos estáticos como nombre de la moto.</w:t>
      </w:r>
    </w:p>
    <w:p>
      <w:pPr>
        <w:pStyle w:val="Heading2"/>
      </w:pPr>
      <w:r>
        <w:t>MOD-005 — Capability Registry general</w:t>
      </w:r>
    </w:p>
    <w:tbl>
      <w:tblPr>
        <w:tblStyle w:val="TableGrid"/>
        <w:tblW w:type="auto" w:w="0"/>
        <w:tblLook w:firstColumn="1" w:firstRow="1" w:lastColumn="0" w:lastRow="0" w:noHBand="0" w:noVBand="1" w:val="04A0"/>
      </w:tblPr>
      <w:tblGrid>
        <w:gridCol w:w="4968"/>
        <w:gridCol w:w="4968"/>
      </w:tblGrid>
      <w:tr>
        <w:tc>
          <w:tcPr>
            <w:tcW w:type="dxa" w:w="4968"/>
          </w:tcPr>
          <w:p>
            <w:r>
              <w:t>Campo</w:t>
            </w:r>
          </w:p>
        </w:tc>
        <w:tc>
          <w:tcPr>
            <w:tcW w:type="dxa" w:w="4968"/>
          </w:tcPr>
          <w:p>
            <w:r>
              <w:t>Valor</w:t>
            </w:r>
          </w:p>
        </w:tc>
      </w:tr>
      <w:tr>
        <w:tc>
          <w:tcPr>
            <w:tcW w:type="dxa" w:w="4968"/>
          </w:tcPr>
          <w:p>
            <w:r>
              <w:t>Estado</w:t>
            </w:r>
          </w:p>
        </w:tc>
        <w:tc>
          <w:tcPr>
            <w:tcW w:type="dxa" w:w="4968"/>
          </w:tcPr>
          <w:p>
            <w:r>
              <w:t>PROPUESTA</w:t>
            </w:r>
          </w:p>
        </w:tc>
      </w:tr>
      <w:tr>
        <w:tc>
          <w:tcPr>
            <w:tcW w:type="dxa" w:w="4968"/>
          </w:tcPr>
          <w:p>
            <w:r>
              <w:t>Origen</w:t>
            </w:r>
          </w:p>
        </w:tc>
        <w:tc>
          <w:tcPr>
            <w:tcW w:type="dxa" w:w="4968"/>
          </w:tcPr>
          <w:p>
            <w:r>
              <w:t>Revisión de degradación elegante</w:t>
            </w:r>
          </w:p>
        </w:tc>
      </w:tr>
      <w:tr>
        <w:tc>
          <w:tcPr>
            <w:tcW w:type="dxa" w:w="4968"/>
          </w:tcPr>
          <w:p>
            <w:r>
              <w:t>Impacto</w:t>
            </w:r>
          </w:p>
        </w:tc>
        <w:tc>
          <w:tcPr>
            <w:tcW w:type="dxa" w:w="4968"/>
          </w:tcPr>
          <w:p>
            <w:r>
              <w:t>Medio</w:t>
            </w:r>
          </w:p>
        </w:tc>
      </w:tr>
      <w:tr>
        <w:tc>
          <w:tcPr>
            <w:tcW w:type="dxa" w:w="4968"/>
          </w:tcPr>
          <w:p>
            <w:r>
              <w:t>Documentos afectados</w:t>
            </w:r>
          </w:p>
        </w:tc>
        <w:tc>
          <w:tcPr>
            <w:tcW w:type="dxa" w:w="4968"/>
          </w:tcPr>
          <w:p>
            <w:r>
              <w:t>Documento 03 v1.0</w:t>
            </w:r>
          </w:p>
        </w:tc>
      </w:tr>
    </w:tbl>
    <w:p>
      <w:r>
        <w:rPr>
          <w:b/>
        </w:rPr>
        <w:t>Motivo / problema</w:t>
      </w:r>
    </w:p>
    <w:p>
      <w:r>
        <w:rPr>
          <w:b w:val="0"/>
        </w:rPr>
        <w:t>APP dependerá de capacidades variables: STT offline disponible o no, micrófono Bluetooth seleccionado, sensores presentes, navegador instalado, proveedor online disponible, permisos concedidos, etc.</w:t>
      </w:r>
    </w:p>
    <w:p>
      <w:r>
        <w:rPr>
          <w:b/>
        </w:rPr>
        <w:t>Decisión o propuesta</w:t>
      </w:r>
    </w:p>
    <w:p>
      <w:r>
        <w:rPr>
          <w:b w:val="0"/>
        </w:rPr>
        <w:t>Crear en una fase posterior un registro central de capacidades efectivas que permita a la aplicación saber qué puede hacer en ese dispositivo/sesión antes de intentar una acción.</w:t>
      </w:r>
    </w:p>
    <w:p>
      <w:r>
        <w:rPr>
          <w:b/>
        </w:rPr>
        <w:t>Cambios a aplicar cuando se consolide</w:t>
      </w:r>
    </w:p>
    <w:p>
      <w:pPr>
        <w:pStyle w:val="ListBullet"/>
      </w:pPr>
      <w:r>
        <w:t>Unificar señales de permisos, hardware, providers e integraciones.</w:t>
      </w:r>
    </w:p>
    <w:p>
      <w:pPr>
        <w:pStyle w:val="ListBullet"/>
      </w:pPr>
      <w:r>
        <w:t>Permitir que IntentRouter/ActionExecutor eviten rutas imposibles.</w:t>
      </w:r>
    </w:p>
    <w:p>
      <w:pPr>
        <w:pStyle w:val="ListBullet"/>
      </w:pPr>
      <w:r>
        <w:t>No implementar un framework complejo en FASE 0; empezar con capacidades mínimas necesarias.</w:t>
      </w:r>
    </w:p>
    <w:p>
      <w:pPr>
        <w:pStyle w:val="Heading2"/>
      </w:pPr>
      <w:r>
        <w:t>MOD-006 — Modo simulación y replay de viajes</w:t>
      </w:r>
    </w:p>
    <w:tbl>
      <w:tblPr>
        <w:tblStyle w:val="TableGrid"/>
        <w:tblW w:type="auto" w:w="0"/>
        <w:tblLook w:firstColumn="1" w:firstRow="1" w:lastColumn="0" w:lastRow="0" w:noHBand="0" w:noVBand="1" w:val="04A0"/>
      </w:tblPr>
      <w:tblGrid>
        <w:gridCol w:w="4968"/>
        <w:gridCol w:w="4968"/>
      </w:tblGrid>
      <w:tr>
        <w:tc>
          <w:tcPr>
            <w:tcW w:type="dxa" w:w="4968"/>
          </w:tcPr>
          <w:p>
            <w:r>
              <w:t>Campo</w:t>
            </w:r>
          </w:p>
        </w:tc>
        <w:tc>
          <w:tcPr>
            <w:tcW w:type="dxa" w:w="4968"/>
          </w:tcPr>
          <w:p>
            <w:r>
              <w:t>Valor</w:t>
            </w:r>
          </w:p>
        </w:tc>
      </w:tr>
      <w:tr>
        <w:tc>
          <w:tcPr>
            <w:tcW w:type="dxa" w:w="4968"/>
          </w:tcPr>
          <w:p>
            <w:r>
              <w:t>Estado</w:t>
            </w:r>
          </w:p>
        </w:tc>
        <w:tc>
          <w:tcPr>
            <w:tcW w:type="dxa" w:w="4968"/>
          </w:tcPr>
          <w:p>
            <w:r>
              <w:t>PROPUESTA</w:t>
            </w:r>
          </w:p>
        </w:tc>
      </w:tr>
      <w:tr>
        <w:tc>
          <w:tcPr>
            <w:tcW w:type="dxa" w:w="4968"/>
          </w:tcPr>
          <w:p>
            <w:r>
              <w:t>Origen</w:t>
            </w:r>
          </w:p>
        </w:tc>
        <w:tc>
          <w:tcPr>
            <w:tcW w:type="dxa" w:w="4968"/>
          </w:tcPr>
          <w:p>
            <w:r>
              <w:t>Revisión de seguridad y estrategia de pruebas</w:t>
            </w:r>
          </w:p>
        </w:tc>
      </w:tr>
      <w:tr>
        <w:tc>
          <w:tcPr>
            <w:tcW w:type="dxa" w:w="4968"/>
          </w:tcPr>
          <w:p>
            <w:r>
              <w:t>Impacto</w:t>
            </w:r>
          </w:p>
        </w:tc>
        <w:tc>
          <w:tcPr>
            <w:tcW w:type="dxa" w:w="4968"/>
          </w:tcPr>
          <w:p>
            <w:r>
              <w:t>Alto</w:t>
            </w:r>
          </w:p>
        </w:tc>
      </w:tr>
      <w:tr>
        <w:tc>
          <w:tcPr>
            <w:tcW w:type="dxa" w:w="4968"/>
          </w:tcPr>
          <w:p>
            <w:r>
              <w:t>Documentos afectados</w:t>
            </w:r>
          </w:p>
        </w:tc>
        <w:tc>
          <w:tcPr>
            <w:tcW w:type="dxa" w:w="4968"/>
          </w:tcPr>
          <w:p>
            <w:r>
              <w:t>Documento 02 v1.0; Documento 03 v1.0</w:t>
            </w:r>
          </w:p>
        </w:tc>
      </w:tr>
    </w:tbl>
    <w:p>
      <w:r>
        <w:rPr>
          <w:b/>
        </w:rPr>
        <w:t>Motivo / problema</w:t>
      </w:r>
    </w:p>
    <w:p>
      <w:r>
        <w:rPr>
          <w:b w:val="0"/>
        </w:rPr>
        <w:t>Muchas funciones futuras dependen de movimiento, ruta, ETA, sensores, POI y contexto. Probar cada cambio conduciendo una motocicleta sería lento, poco reproducible y en algunos casos inseguro.</w:t>
      </w:r>
    </w:p>
    <w:p>
      <w:r>
        <w:rPr>
          <w:b/>
        </w:rPr>
        <w:t>Decisión o propuesta</w:t>
      </w:r>
    </w:p>
    <w:p>
      <w:r>
        <w:rPr>
          <w:b w:val="0"/>
        </w:rPr>
        <w:t>Incorporar herramientas de desarrollo que permitan reproducir sesiones grabadas o escenarios sintéticos: posiciones GPS, velocidad, cambios de ruta, pérdida de Internet, conexión Bluetooth y eventos de sensores. El modo será exclusivamente de desarrollo/prueba y no alterará el historial real del usuario.</w:t>
      </w:r>
    </w:p>
    <w:p>
      <w:r>
        <w:rPr>
          <w:b/>
        </w:rPr>
        <w:t>Cambios a aplicar cuando se consolide</w:t>
      </w:r>
    </w:p>
    <w:p>
      <w:pPr>
        <w:pStyle w:val="ListBullet"/>
      </w:pPr>
      <w:r>
        <w:t>Diseñar interfaces de Location/Sensor sources sustituibles.</w:t>
      </w:r>
    </w:p>
    <w:p>
      <w:pPr>
        <w:pStyle w:val="ListBullet"/>
      </w:pPr>
      <w:r>
        <w:t>Permitir fixtures de viaje en pruebas.</w:t>
      </w:r>
    </w:p>
    <w:p>
      <w:pPr>
        <w:pStyle w:val="ListBullet"/>
      </w:pPr>
      <w:r>
        <w:t>Separar claramente datos simulados de datos reales.</w:t>
      </w:r>
    </w:p>
    <w:p>
      <w:pPr>
        <w:pStyle w:val="ListBullet"/>
      </w:pPr>
      <w:r>
        <w:t>Evaluar esta capacidad antes de las fases de navegación avanzada y seguridad.</w:t>
      </w:r>
    </w:p>
    <w:p>
      <w:pPr>
        <w:pStyle w:val="Heading2"/>
      </w:pPr>
      <w:r>
        <w:t>MOD-007 — Procedencia y versionado de memoria aprendida</w:t>
      </w:r>
    </w:p>
    <w:tbl>
      <w:tblPr>
        <w:tblStyle w:val="TableGrid"/>
        <w:tblW w:type="auto" w:w="0"/>
        <w:tblLook w:firstColumn="1" w:firstRow="1" w:lastColumn="0" w:lastRow="0" w:noHBand="0" w:noVBand="1" w:val="04A0"/>
      </w:tblPr>
      <w:tblGrid>
        <w:gridCol w:w="4968"/>
        <w:gridCol w:w="4968"/>
      </w:tblGrid>
      <w:tr>
        <w:tc>
          <w:tcPr>
            <w:tcW w:type="dxa" w:w="4968"/>
          </w:tcPr>
          <w:p>
            <w:r>
              <w:t>Campo</w:t>
            </w:r>
          </w:p>
        </w:tc>
        <w:tc>
          <w:tcPr>
            <w:tcW w:type="dxa" w:w="4968"/>
          </w:tcPr>
          <w:p>
            <w:r>
              <w:t>Valor</w:t>
            </w:r>
          </w:p>
        </w:tc>
      </w:tr>
      <w:tr>
        <w:tc>
          <w:tcPr>
            <w:tcW w:type="dxa" w:w="4968"/>
          </w:tcPr>
          <w:p>
            <w:r>
              <w:t>Estado</w:t>
            </w:r>
          </w:p>
        </w:tc>
        <w:tc>
          <w:tcPr>
            <w:tcW w:type="dxa" w:w="4968"/>
          </w:tcPr>
          <w:p>
            <w:r>
              <w:t>PROPUESTA</w:t>
            </w:r>
          </w:p>
        </w:tc>
      </w:tr>
      <w:tr>
        <w:tc>
          <w:tcPr>
            <w:tcW w:type="dxa" w:w="4968"/>
          </w:tcPr>
          <w:p>
            <w:r>
              <w:t>Origen</w:t>
            </w:r>
          </w:p>
        </w:tc>
        <w:tc>
          <w:tcPr>
            <w:tcW w:type="dxa" w:w="4968"/>
          </w:tcPr>
          <w:p>
            <w:r>
              <w:t>Revisión del perfil adaptativo</w:t>
            </w:r>
          </w:p>
        </w:tc>
      </w:tr>
      <w:tr>
        <w:tc>
          <w:tcPr>
            <w:tcW w:type="dxa" w:w="4968"/>
          </w:tcPr>
          <w:p>
            <w:r>
              <w:t>Impacto</w:t>
            </w:r>
          </w:p>
        </w:tc>
        <w:tc>
          <w:tcPr>
            <w:tcW w:type="dxa" w:w="4968"/>
          </w:tcPr>
          <w:p>
            <w:r>
              <w:t>Medio</w:t>
            </w:r>
          </w:p>
        </w:tc>
      </w:tr>
      <w:tr>
        <w:tc>
          <w:tcPr>
            <w:tcW w:type="dxa" w:w="4968"/>
          </w:tcPr>
          <w:p>
            <w:r>
              <w:t>Documentos afectados</w:t>
            </w:r>
          </w:p>
        </w:tc>
        <w:tc>
          <w:tcPr>
            <w:tcW w:type="dxa" w:w="4968"/>
          </w:tcPr>
          <w:p>
            <w:r>
              <w:t>Documento 02 v1.0; Documento 03 v1.0</w:t>
            </w:r>
          </w:p>
        </w:tc>
      </w:tr>
    </w:tbl>
    <w:p>
      <w:r>
        <w:rPr>
          <w:b/>
        </w:rPr>
        <w:t>Motivo / problema</w:t>
      </w:r>
    </w:p>
    <w:p>
      <w:r>
        <w:rPr>
          <w:b w:val="0"/>
        </w:rPr>
        <w:t>El usuario podrá corregir u olvidar memoria. Para explicar por qué APP cree algo y evitar preferencias obsoletas, puede ser útil conocer su origen.</w:t>
      </w:r>
    </w:p>
    <w:p>
      <w:r>
        <w:rPr>
          <w:b/>
        </w:rPr>
        <w:t>Decisión o propuesta</w:t>
      </w:r>
    </w:p>
    <w:p>
      <w:r>
        <w:rPr>
          <w:b w:val="0"/>
        </w:rPr>
        <w:t>Las memorias persistentes relevantes podrían guardar tipo de origen (explicit_user, confirmed_pattern, imported, inferred), createdAt, updatedAt y opcionalmente confidence/evidenceCount sin conservar conversaciones crudas.</w:t>
      </w:r>
    </w:p>
    <w:p>
      <w:r>
        <w:rPr>
          <w:b/>
        </w:rPr>
        <w:t>Cambios a aplicar cuando se consolide</w:t>
      </w:r>
    </w:p>
    <w:p>
      <w:pPr>
        <w:pStyle w:val="ListBullet"/>
      </w:pPr>
      <w:r>
        <w:t>Aplicar únicamente a memoria adaptativa, no a todas las tablas.</w:t>
      </w:r>
    </w:p>
    <w:p>
      <w:pPr>
        <w:pStyle w:val="ListBullet"/>
      </w:pPr>
      <w:r>
        <w:t>Permitir degradar/eliminar hábitos antiguos cuando exista contradicción persistente.</w:t>
      </w:r>
    </w:p>
    <w:p>
      <w:pPr>
        <w:pStyle w:val="ListBullet"/>
      </w:pPr>
      <w:r>
        <w:t>Mantener el control Editar/Olvidar como regla superior.</w:t>
      </w:r>
    </w:p>
    <w:p>
      <w:pPr>
        <w:pStyle w:val="Heading2"/>
      </w:pPr>
      <w:r>
        <w:t>MOD-008 — Feature flags para capacidades experimentales</w:t>
      </w:r>
    </w:p>
    <w:tbl>
      <w:tblPr>
        <w:tblStyle w:val="TableGrid"/>
        <w:tblW w:type="auto" w:w="0"/>
        <w:tblLook w:firstColumn="1" w:firstRow="1" w:lastColumn="0" w:lastRow="0" w:noHBand="0" w:noVBand="1" w:val="04A0"/>
      </w:tblPr>
      <w:tblGrid>
        <w:gridCol w:w="4968"/>
        <w:gridCol w:w="4968"/>
      </w:tblGrid>
      <w:tr>
        <w:tc>
          <w:tcPr>
            <w:tcW w:type="dxa" w:w="4968"/>
          </w:tcPr>
          <w:p>
            <w:r>
              <w:t>Campo</w:t>
            </w:r>
          </w:p>
        </w:tc>
        <w:tc>
          <w:tcPr>
            <w:tcW w:type="dxa" w:w="4968"/>
          </w:tcPr>
          <w:p>
            <w:r>
              <w:t>Valor</w:t>
            </w:r>
          </w:p>
        </w:tc>
      </w:tr>
      <w:tr>
        <w:tc>
          <w:tcPr>
            <w:tcW w:type="dxa" w:w="4968"/>
          </w:tcPr>
          <w:p>
            <w:r>
              <w:t>Estado</w:t>
            </w:r>
          </w:p>
        </w:tc>
        <w:tc>
          <w:tcPr>
            <w:tcW w:type="dxa" w:w="4968"/>
          </w:tcPr>
          <w:p>
            <w:r>
              <w:t>PROPUESTA</w:t>
            </w:r>
          </w:p>
        </w:tc>
      </w:tr>
      <w:tr>
        <w:tc>
          <w:tcPr>
            <w:tcW w:type="dxa" w:w="4968"/>
          </w:tcPr>
          <w:p>
            <w:r>
              <w:t>Origen</w:t>
            </w:r>
          </w:p>
        </w:tc>
        <w:tc>
          <w:tcPr>
            <w:tcW w:type="dxa" w:w="4968"/>
          </w:tcPr>
          <w:p>
            <w:r>
              <w:t>Revisión de evolución incremental</w:t>
            </w:r>
          </w:p>
        </w:tc>
      </w:tr>
      <w:tr>
        <w:tc>
          <w:tcPr>
            <w:tcW w:type="dxa" w:w="4968"/>
          </w:tcPr>
          <w:p>
            <w:r>
              <w:t>Impacto</w:t>
            </w:r>
          </w:p>
        </w:tc>
        <w:tc>
          <w:tcPr>
            <w:tcW w:type="dxa" w:w="4968"/>
          </w:tcPr>
          <w:p>
            <w:r>
              <w:t>Bajo/Medio</w:t>
            </w:r>
          </w:p>
        </w:tc>
      </w:tr>
      <w:tr>
        <w:tc>
          <w:tcPr>
            <w:tcW w:type="dxa" w:w="4968"/>
          </w:tcPr>
          <w:p>
            <w:r>
              <w:t>Documentos afectados</w:t>
            </w:r>
          </w:p>
        </w:tc>
        <w:tc>
          <w:tcPr>
            <w:tcW w:type="dxa" w:w="4968"/>
          </w:tcPr>
          <w:p>
            <w:r>
              <w:t>Documento 03 v1.0</w:t>
            </w:r>
          </w:p>
        </w:tc>
      </w:tr>
    </w:tbl>
    <w:p>
      <w:r>
        <w:rPr>
          <w:b/>
        </w:rPr>
        <w:t>Motivo / problema</w:t>
      </w:r>
    </w:p>
    <w:p>
      <w:r>
        <w:rPr>
          <w:b w:val="0"/>
        </w:rPr>
        <w:t>Wake word personalizado, nuevos NavigationProviders, SOS, LLM local y otras funciones llegarán gradualmente y algunas pueden ser inestables durante pruebas.</w:t>
      </w:r>
    </w:p>
    <w:p>
      <w:r>
        <w:rPr>
          <w:b/>
        </w:rPr>
        <w:t>Decisión o propuesta</w:t>
      </w:r>
    </w:p>
    <w:p>
      <w:r>
        <w:rPr>
          <w:b w:val="0"/>
        </w:rPr>
        <w:t>Usar flags de desarrollo/configuración para habilitar funciones experimentales sin crear ramas permanentes o pantallas duplicadas. No se propone una plataforma remota de feature management en el MVP.</w:t>
      </w:r>
    </w:p>
    <w:p>
      <w:r>
        <w:rPr>
          <w:b/>
        </w:rPr>
        <w:t>Cambios a aplicar cuando se consolide</w:t>
      </w:r>
    </w:p>
    <w:p>
      <w:pPr>
        <w:pStyle w:val="ListBullet"/>
      </w:pPr>
      <w:r>
        <w:t>Comenzar con flags locales simples cuando aparezca la primera necesidad real.</w:t>
      </w:r>
    </w:p>
    <w:p>
      <w:pPr>
        <w:pStyle w:val="ListBullet"/>
      </w:pPr>
      <w:r>
        <w:t>Separar flags de desarrollo de preferencias normales del usuario.</w:t>
      </w:r>
    </w:p>
    <w:p>
      <w:pPr>
        <w:pStyle w:val="ListBullet"/>
      </w:pPr>
      <w:r>
        <w:t>Eliminar flags obsoletos cuando una función se estabilice.</w:t>
      </w:r>
    </w:p>
    <w:p>
      <w:pPr>
        <w:pStyle w:val="Heading1"/>
      </w:pPr>
      <w:r>
        <w:t>6. Impacto específico sobre los documentos base</w:t>
      </w:r>
    </w:p>
    <w:tbl>
      <w:tblPr>
        <w:tblStyle w:val="TableGrid"/>
        <w:tblW w:type="auto" w:w="0"/>
        <w:tblLook w:firstColumn="1" w:firstRow="1" w:lastColumn="0" w:lastRow="0" w:noHBand="0" w:noVBand="1" w:val="04A0"/>
      </w:tblPr>
      <w:tblGrid>
        <w:gridCol w:w="4968"/>
        <w:gridCol w:w="4968"/>
      </w:tblGrid>
      <w:tr>
        <w:tc>
          <w:tcPr>
            <w:tcW w:type="dxa" w:w="4968"/>
          </w:tcPr>
          <w:p>
            <w:r>
              <w:t>Documento</w:t>
            </w:r>
          </w:p>
        </w:tc>
        <w:tc>
          <w:tcPr>
            <w:tcW w:type="dxa" w:w="4968"/>
          </w:tcPr>
          <w:p>
            <w:r>
              <w:t>Cambios que quedarían pendientes de consolidación</w:t>
            </w:r>
          </w:p>
        </w:tc>
      </w:tr>
      <w:tr>
        <w:tc>
          <w:tcPr>
            <w:tcW w:type="dxa" w:w="4968"/>
          </w:tcPr>
          <w:p>
            <w:r>
              <w:t>V4 FINAL</w:t>
            </w:r>
          </w:p>
        </w:tc>
        <w:tc>
          <w:tcPr>
            <w:tcW w:type="dxa" w:w="4968"/>
          </w:tcPr>
          <w:p>
            <w:r>
              <w:t>Actualizar la definición de navegación agnóstica para incluir Route Intelligence propia; sustituir la degradación directa por resolución multi-fuente; dejar explícita la preparación Waze + Google Maps + proveedor externo genérico.</w:t>
            </w:r>
          </w:p>
        </w:tc>
      </w:tr>
      <w:tr>
        <w:tc>
          <w:tcPr>
            <w:tcW w:type="dxa" w:w="4968"/>
          </w:tcPr>
          <w:p>
            <w:r>
              <w:t>Documento 02 v1.0</w:t>
            </w:r>
          </w:p>
        </w:tc>
        <w:tc>
          <w:tcPr>
            <w:tcW w:type="dxa" w:w="4968"/>
          </w:tcPr>
          <w:p>
            <w:r>
              <w:t>Revisar RF-035 a RF-043 y requisitos relacionados con navegación/servicios para reflejar capacidades efectivas de APP, fallback y procedencia confiable de datos.</w:t>
            </w:r>
          </w:p>
        </w:tc>
      </w:tr>
      <w:tr>
        <w:tc>
          <w:tcPr>
            <w:tcW w:type="dxa" w:w="4968"/>
          </w:tcPr>
          <w:p>
            <w:r>
              <w:t>Documento 03 v1.0</w:t>
            </w:r>
          </w:p>
        </w:tc>
        <w:tc>
          <w:tcPr>
            <w:tcW w:type="dxa" w:w="4968"/>
          </w:tcPr>
          <w:p>
            <w:r>
              <w:t>Agregar RouteIntelligenceService; separar ProviderCapabilities/AppNavigationCapabilities; actualizar diagramas y flujo de resolución; preparar adapters Waze/Maps/Generic; incorporar las propuestas futuras solo si se aprueban.</w:t>
            </w:r>
          </w:p>
        </w:tc>
      </w:tr>
    </w:tbl>
    <w:p>
      <w:pPr>
        <w:pStyle w:val="Heading1"/>
      </w:pPr>
      <w:r>
        <w:t>7. Qué NO cambia por estas modificaciones</w:t>
      </w:r>
    </w:p>
    <w:p>
      <w:pPr>
        <w:pStyle w:val="ListBullet"/>
      </w:pPr>
      <w:r>
        <w:t>FASE 0 continúa centrada en Bluetooth + wake word + STT corto + comando multimedia + métricas.</w:t>
      </w:r>
    </w:p>
    <w:p>
      <w:pPr>
        <w:pStyle w:val="ListBullet"/>
      </w:pPr>
      <w:r>
        <w:t>No se implementarán Waze, Google Maps ni Route Intelligence durante FASE 0 únicamente por haberlos preparado arquitectónicamente.</w:t>
      </w:r>
    </w:p>
    <w:p>
      <w:pPr>
        <w:pStyle w:val="ListBullet"/>
      </w:pPr>
      <w:r>
        <w:t>NavigationProvider sigue siendo una abstracción obligatoria.</w:t>
      </w:r>
    </w:p>
    <w:p>
      <w:pPr>
        <w:pStyle w:val="ListBullet"/>
      </w:pPr>
      <w:r>
        <w:t>El navegador puede seguir siendo la interfaz visual principal durante viaje.</w:t>
      </w:r>
    </w:p>
    <w:p>
      <w:pPr>
        <w:pStyle w:val="ListBullet"/>
      </w:pPr>
      <w:r>
        <w:t>APP no inventará datos ausentes.</w:t>
      </w:r>
    </w:p>
    <w:p>
      <w:pPr>
        <w:pStyle w:val="ListBullet"/>
      </w:pPr>
      <w:r>
        <w:t>Offline-first, privacidad local, Intent Router determinista y modularidad permanecen sin cambios.</w:t>
      </w:r>
    </w:p>
    <w:p>
      <w:pPr>
        <w:pStyle w:val="Heading1"/>
      </w:pPr>
      <w:r>
        <w:t>8. Flujo de mantenimiento documental</w:t>
      </w:r>
    </w:p>
    <w:p>
      <w:r>
        <w:rPr>
          <w:b w:val="0"/>
        </w:rPr>
        <w:t>A partir de este punto, las decisiones importantes pueden agregarse a este archivo sin reescribir inmediatamente los tres documentos base. Se recomienda consolidar cuando ocurra al menos una de estas condiciones:</w:t>
      </w:r>
    </w:p>
    <w:p>
      <w:pPr>
        <w:pStyle w:val="ListBullet"/>
      </w:pPr>
      <w:r>
        <w:t>Se acumule un conjunto significativo de modificaciones aprobadas.</w:t>
      </w:r>
    </w:p>
    <w:p>
      <w:pPr>
        <w:pStyle w:val="ListBullet"/>
      </w:pPr>
      <w:r>
        <w:t>Una modificación cambie directamente la implementación de la fase que está por comenzar.</w:t>
      </w:r>
    </w:p>
    <w:p>
      <w:pPr>
        <w:pStyle w:val="ListBullet"/>
      </w:pPr>
      <w:r>
        <w:t>Se cierre una fase importante y se prepare la siguiente.</w:t>
      </w:r>
    </w:p>
    <w:p>
      <w:pPr>
        <w:pStyle w:val="ListBullet"/>
      </w:pPr>
      <w:r>
        <w:t>Existan contradicciones suficientes para dificultar la lectura de los documentos originales.</w:t>
      </w:r>
    </w:p>
    <w:p>
      <w:pPr>
        <w:pStyle w:val="ListBullet"/>
      </w:pPr>
      <w:r>
        <w:t>Se prepare una versión que vaya a compartirse fuera del desarrollo personal del proyecto.</w:t>
      </w:r>
    </w:p>
    <w:p>
      <w:r>
        <w:rPr>
          <w:b w:val="0"/>
        </w:rPr>
        <w:t>Al consolidar, cada MOD deberá marcarse como CONSOLIDADA e indicar la versión de destino.</w:t>
      </w:r>
    </w:p>
    <w:p>
      <w:pPr>
        <w:pStyle w:val="Heading1"/>
      </w:pPr>
      <w:r>
        <w:t>9. Registro de consolidación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w:t>
            </w:r>
          </w:p>
        </w:tc>
        <w:tc>
          <w:tcPr>
            <w:tcW w:type="dxa" w:w="2484"/>
          </w:tcPr>
          <w:p>
            <w:r>
              <w:t>Versión destino</w:t>
            </w:r>
          </w:p>
        </w:tc>
        <w:tc>
          <w:tcPr>
            <w:tcW w:type="dxa" w:w="2484"/>
          </w:tcPr>
          <w:p>
            <w:r>
              <w:t>Fecha</w:t>
            </w:r>
          </w:p>
        </w:tc>
        <w:tc>
          <w:tcPr>
            <w:tcW w:type="dxa" w:w="2484"/>
          </w:tcPr>
          <w:p>
            <w:r>
              <w:t>Estado</w:t>
            </w:r>
          </w:p>
        </w:tc>
      </w:tr>
      <w:tr>
        <w:tc>
          <w:tcPr>
            <w:tcW w:type="dxa" w:w="2484"/>
          </w:tcPr>
          <w:p>
            <w:r>
              <w:t>MOD-001</w:t>
            </w:r>
          </w:p>
        </w:tc>
        <w:tc>
          <w:tcPr>
            <w:tcW w:type="dxa" w:w="2484"/>
          </w:tcPr>
          <w:p>
            <w:r>
              <w:t>Pendiente</w:t>
            </w:r>
          </w:p>
        </w:tc>
        <w:tc>
          <w:tcPr>
            <w:tcW w:type="dxa" w:w="2484"/>
          </w:tcPr>
          <w:p>
            <w:r>
              <w:t>—</w:t>
            </w:r>
          </w:p>
        </w:tc>
        <w:tc>
          <w:tcPr>
            <w:tcW w:type="dxa" w:w="2484"/>
          </w:tcPr>
          <w:p>
            <w:r>
              <w:t>APROBADA</w:t>
            </w:r>
          </w:p>
        </w:tc>
      </w:tr>
      <w:tr>
        <w:tc>
          <w:tcPr>
            <w:tcW w:type="dxa" w:w="2484"/>
          </w:tcPr>
          <w:p>
            <w:r>
              <w:t>MOD-002</w:t>
            </w:r>
          </w:p>
        </w:tc>
        <w:tc>
          <w:tcPr>
            <w:tcW w:type="dxa" w:w="2484"/>
          </w:tcPr>
          <w:p>
            <w:r>
              <w:t>Pendiente</w:t>
            </w:r>
          </w:p>
        </w:tc>
        <w:tc>
          <w:tcPr>
            <w:tcW w:type="dxa" w:w="2484"/>
          </w:tcPr>
          <w:p>
            <w:r>
              <w:t>—</w:t>
            </w:r>
          </w:p>
        </w:tc>
        <w:tc>
          <w:tcPr>
            <w:tcW w:type="dxa" w:w="2484"/>
          </w:tcPr>
          <w:p>
            <w:r>
              <w:t>APROBADA</w:t>
            </w:r>
          </w:p>
        </w:tc>
      </w:tr>
      <w:tr>
        <w:tc>
          <w:tcPr>
            <w:tcW w:type="dxa" w:w="2484"/>
          </w:tcPr>
          <w:p>
            <w:r>
              <w:t>MOD-003</w:t>
            </w:r>
          </w:p>
        </w:tc>
        <w:tc>
          <w:tcPr>
            <w:tcW w:type="dxa" w:w="2484"/>
          </w:tcPr>
          <w:p>
            <w:r>
              <w:t>Pendiente</w:t>
            </w:r>
          </w:p>
        </w:tc>
        <w:tc>
          <w:tcPr>
            <w:tcW w:type="dxa" w:w="2484"/>
          </w:tcPr>
          <w:p>
            <w:r>
              <w:t>—</w:t>
            </w:r>
          </w:p>
        </w:tc>
        <w:tc>
          <w:tcPr>
            <w:tcW w:type="dxa" w:w="2484"/>
          </w:tcPr>
          <w:p>
            <w:r>
              <w:t>APROBADA</w:t>
            </w:r>
          </w:p>
        </w:tc>
      </w:tr>
      <w:tr>
        <w:tc>
          <w:tcPr>
            <w:tcW w:type="dxa" w:w="2484"/>
          </w:tcPr>
          <w:p>
            <w:r>
              <w:t>MOD-004</w:t>
            </w:r>
          </w:p>
        </w:tc>
        <w:tc>
          <w:tcPr>
            <w:tcW w:type="dxa" w:w="2484"/>
          </w:tcPr>
          <w:p>
            <w:r>
              <w:t>—</w:t>
            </w:r>
          </w:p>
        </w:tc>
        <w:tc>
          <w:tcPr>
            <w:tcW w:type="dxa" w:w="2484"/>
          </w:tcPr>
          <w:p>
            <w:r>
              <w:t>—</w:t>
            </w:r>
          </w:p>
        </w:tc>
        <w:tc>
          <w:tcPr>
            <w:tcW w:type="dxa" w:w="2484"/>
          </w:tcPr>
          <w:p>
            <w:r>
              <w:t>PROPUESTA</w:t>
            </w:r>
          </w:p>
        </w:tc>
      </w:tr>
      <w:tr>
        <w:tc>
          <w:tcPr>
            <w:tcW w:type="dxa" w:w="2484"/>
          </w:tcPr>
          <w:p>
            <w:r>
              <w:t>MOD-005</w:t>
            </w:r>
          </w:p>
        </w:tc>
        <w:tc>
          <w:tcPr>
            <w:tcW w:type="dxa" w:w="2484"/>
          </w:tcPr>
          <w:p>
            <w:r>
              <w:t>—</w:t>
            </w:r>
          </w:p>
        </w:tc>
        <w:tc>
          <w:tcPr>
            <w:tcW w:type="dxa" w:w="2484"/>
          </w:tcPr>
          <w:p>
            <w:r>
              <w:t>—</w:t>
            </w:r>
          </w:p>
        </w:tc>
        <w:tc>
          <w:tcPr>
            <w:tcW w:type="dxa" w:w="2484"/>
          </w:tcPr>
          <w:p>
            <w:r>
              <w:t>PROPUESTA</w:t>
            </w:r>
          </w:p>
        </w:tc>
      </w:tr>
      <w:tr>
        <w:tc>
          <w:tcPr>
            <w:tcW w:type="dxa" w:w="2484"/>
          </w:tcPr>
          <w:p>
            <w:r>
              <w:t>MOD-006</w:t>
            </w:r>
          </w:p>
        </w:tc>
        <w:tc>
          <w:tcPr>
            <w:tcW w:type="dxa" w:w="2484"/>
          </w:tcPr>
          <w:p>
            <w:r>
              <w:t>—</w:t>
            </w:r>
          </w:p>
        </w:tc>
        <w:tc>
          <w:tcPr>
            <w:tcW w:type="dxa" w:w="2484"/>
          </w:tcPr>
          <w:p>
            <w:r>
              <w:t>—</w:t>
            </w:r>
          </w:p>
        </w:tc>
        <w:tc>
          <w:tcPr>
            <w:tcW w:type="dxa" w:w="2484"/>
          </w:tcPr>
          <w:p>
            <w:r>
              <w:t>PROPUESTA</w:t>
            </w:r>
          </w:p>
        </w:tc>
      </w:tr>
      <w:tr>
        <w:tc>
          <w:tcPr>
            <w:tcW w:type="dxa" w:w="2484"/>
          </w:tcPr>
          <w:p>
            <w:r>
              <w:t>MOD-007</w:t>
            </w:r>
          </w:p>
        </w:tc>
        <w:tc>
          <w:tcPr>
            <w:tcW w:type="dxa" w:w="2484"/>
          </w:tcPr>
          <w:p>
            <w:r>
              <w:t>—</w:t>
            </w:r>
          </w:p>
        </w:tc>
        <w:tc>
          <w:tcPr>
            <w:tcW w:type="dxa" w:w="2484"/>
          </w:tcPr>
          <w:p>
            <w:r>
              <w:t>—</w:t>
            </w:r>
          </w:p>
        </w:tc>
        <w:tc>
          <w:tcPr>
            <w:tcW w:type="dxa" w:w="2484"/>
          </w:tcPr>
          <w:p>
            <w:r>
              <w:t>PROPUESTA</w:t>
            </w:r>
          </w:p>
        </w:tc>
      </w:tr>
      <w:tr>
        <w:tc>
          <w:tcPr>
            <w:tcW w:type="dxa" w:w="2484"/>
          </w:tcPr>
          <w:p>
            <w:r>
              <w:t>MOD-008</w:t>
            </w:r>
          </w:p>
        </w:tc>
        <w:tc>
          <w:tcPr>
            <w:tcW w:type="dxa" w:w="2484"/>
          </w:tcPr>
          <w:p>
            <w:r>
              <w:t>—</w:t>
            </w:r>
          </w:p>
        </w:tc>
        <w:tc>
          <w:tcPr>
            <w:tcW w:type="dxa" w:w="2484"/>
          </w:tcPr>
          <w:p>
            <w:r>
              <w:t>—</w:t>
            </w:r>
          </w:p>
        </w:tc>
        <w:tc>
          <w:tcPr>
            <w:tcW w:type="dxa" w:w="2484"/>
          </w:tcPr>
          <w:p>
            <w:r>
              <w:t>PROPUESTA</w:t>
            </w:r>
          </w:p>
        </w:tc>
      </w:tr>
    </w:tbl>
    <w:p>
      <w:pPr>
        <w:pStyle w:val="Heading1"/>
      </w:pPr>
      <w:r>
        <w:t>10. Regla de precedencia</w:t>
      </w:r>
    </w:p>
    <w:p>
      <w:r>
        <w:rPr>
          <w:b w:val="0"/>
        </w:rPr>
        <w:t>Mientras una modificación permanezca APROBADA pero no consolidada, este Registro de Modificaciones Importantes complementa a los documentos base. Si existe una contradicción directa sobre una decisión posterior, la modificación aprobada más reciente será la referencia para el desarrollo. Las propuestas no tienen precedencia sobre la línea base.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APP — Registro de modificaciones importantes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