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t>GoDental</w:t>
      </w:r>
    </w:p>
    <w:p>
      <w:pPr>
        <w:pStyle w:val="Title"/>
        <w:jc w:val="center"/>
      </w:pPr>
      <w:r>
        <w:t>Documento Maestro del Proyecto</w:t>
      </w:r>
    </w:p>
    <w:p>
      <w:pPr>
        <w:jc w:val="center"/>
      </w:pPr>
      <w:r>
        <w:rPr>
          <w:color w:val="627D98"/>
          <w:sz w:val="24"/>
        </w:rPr>
        <w:t>Arquitectura · Reglas · Alcance · Modelo funcional · Roadmap</w:t>
      </w:r>
    </w:p>
    <w:tbl>
      <w:tblPr>
        <w:tblStyle w:val="TableGrid"/>
        <w:tblW w:type="auto" w:w="0"/>
        <w:jc w:val="center"/>
        <w:tblLook w:firstColumn="1" w:firstRow="1" w:lastColumn="0" w:lastRow="0" w:noHBand="0" w:noVBand="1" w:val="04A0"/>
      </w:tblPr>
      <w:tblGrid>
        <w:gridCol w:w="2304"/>
        <w:gridCol w:w="6048"/>
      </w:tblGrid>
      <w:tr>
        <w:tc>
          <w:tcPr>
            <w:tcW w:type="dxa" w:w="4997"/>
            <w:shd w:fill="E9EFF7"/>
            <w:tcMar>
              <w:top w:w="100" w:type="dxa"/>
              <w:start w:w="120" w:type="dxa"/>
              <w:bottom w:w="100" w:type="dxa"/>
              <w:end w:w="120" w:type="dxa"/>
            </w:tcMar>
            <w:vAlign w:val="center"/>
          </w:tcPr>
          <w:p>
            <w:r>
              <w:rPr>
                <w:b/>
              </w:rPr>
              <w:t>Versión</w:t>
            </w:r>
          </w:p>
        </w:tc>
        <w:tc>
          <w:tcPr>
            <w:tcW w:type="dxa" w:w="4997"/>
            <w:tcMar>
              <w:top w:w="100" w:type="dxa"/>
              <w:start w:w="120" w:type="dxa"/>
              <w:bottom w:w="100" w:type="dxa"/>
              <w:end w:w="120" w:type="dxa"/>
            </w:tcMar>
            <w:vAlign w:val="center"/>
          </w:tcPr>
          <w:p>
            <w:r>
              <w:t>0.2</w:t>
            </w:r>
          </w:p>
        </w:tc>
      </w:tr>
      <w:tr>
        <w:tc>
          <w:tcPr>
            <w:tcW w:type="dxa" w:w="4997"/>
            <w:shd w:fill="E9EFF7"/>
            <w:tcMar>
              <w:top w:w="100" w:type="dxa"/>
              <w:start w:w="120" w:type="dxa"/>
              <w:bottom w:w="100" w:type="dxa"/>
              <w:end w:w="120" w:type="dxa"/>
            </w:tcMar>
            <w:vAlign w:val="center"/>
          </w:tcPr>
          <w:p>
            <w:r>
              <w:rPr>
                <w:b/>
              </w:rPr>
              <w:t>Fecha</w:t>
            </w:r>
          </w:p>
        </w:tc>
        <w:tc>
          <w:tcPr>
            <w:tcW w:type="dxa" w:w="4997"/>
            <w:tcMar>
              <w:top w:w="100" w:type="dxa"/>
              <w:start w:w="120" w:type="dxa"/>
              <w:bottom w:w="100" w:type="dxa"/>
              <w:end w:w="120" w:type="dxa"/>
            </w:tcMar>
            <w:vAlign w:val="center"/>
          </w:tcPr>
          <w:p>
            <w:r>
              <w:t>06 de septiembre de 2026</w:t>
            </w:r>
          </w:p>
        </w:tc>
      </w:tr>
      <w:tr>
        <w:tc>
          <w:tcPr>
            <w:tcW w:type="dxa" w:w="4997"/>
            <w:shd w:fill="E9EFF7"/>
            <w:tcMar>
              <w:top w:w="100" w:type="dxa"/>
              <w:start w:w="120" w:type="dxa"/>
              <w:bottom w:w="100" w:type="dxa"/>
              <w:end w:w="120" w:type="dxa"/>
            </w:tcMar>
            <w:vAlign w:val="center"/>
          </w:tcPr>
          <w:p>
            <w:r>
              <w:rPr>
                <w:b/>
              </w:rPr>
              <w:t>Estado</w:t>
            </w:r>
          </w:p>
        </w:tc>
        <w:tc>
          <w:tcPr>
            <w:tcW w:type="dxa" w:w="4997"/>
            <w:tcMar>
              <w:top w:w="100" w:type="dxa"/>
              <w:start w:w="120" w:type="dxa"/>
              <w:bottom w:w="100" w:type="dxa"/>
              <w:end w:w="120" w:type="dxa"/>
            </w:tcMar>
            <w:vAlign w:val="center"/>
          </w:tcPr>
          <w:p>
            <w:r>
              <w:t>Decisiones comerciales y operativas consolidadas para iniciar DB-01</w:t>
            </w:r>
          </w:p>
        </w:tc>
      </w:tr>
      <w:tr>
        <w:tc>
          <w:tcPr>
            <w:tcW w:type="dxa" w:w="4997"/>
            <w:shd w:fill="E9EFF7"/>
            <w:tcMar>
              <w:top w:w="100" w:type="dxa"/>
              <w:start w:w="120" w:type="dxa"/>
              <w:bottom w:w="100" w:type="dxa"/>
              <w:end w:w="120" w:type="dxa"/>
            </w:tcMar>
            <w:vAlign w:val="center"/>
          </w:tcPr>
          <w:p>
            <w:r>
              <w:t>Nombre del software</w:t>
            </w:r>
          </w:p>
        </w:tc>
        <w:tc>
          <w:tcPr>
            <w:tcW w:type="dxa" w:w="4997"/>
            <w:tcMar>
              <w:top w:w="100" w:type="dxa"/>
              <w:start w:w="120" w:type="dxa"/>
              <w:bottom w:w="100" w:type="dxa"/>
              <w:end w:w="120" w:type="dxa"/>
            </w:tcMar>
            <w:vAlign w:val="center"/>
          </w:tcPr>
          <w:p>
            <w:r>
              <w:t>GoDental</w:t>
            </w:r>
          </w:p>
        </w:tc>
      </w:tr>
      <w:tr>
        <w:tc>
          <w:tcPr>
            <w:tcW w:type="dxa" w:w="2304"/>
          </w:tcPr>
          <w:p>
            <w:r>
              <w:t>Branding</w:t>
            </w:r>
          </w:p>
        </w:tc>
        <w:tc>
          <w:tcPr>
            <w:tcW w:type="dxa" w:w="6048"/>
          </w:tcPr>
          <w:p>
            <w:r>
              <w:t>Minimalista y moderno; paleta celeste, azul y verde; temas claro y oscuro.</w:t>
            </w:r>
          </w:p>
        </w:tc>
      </w:tr>
    </w:tbl>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Propósito de este documento</w:t>
            </w:r>
            <w:r>
              <w:br/>
              <w:t>Ser la fuente de verdad del proyecto. Debe poder subirse como fuente/contexto para futuras sesiones y consultarse antes de proponer cambios. Toda decisión nueva importante deberá reflejarse en una versión posterior.</w:t>
            </w:r>
          </w:p>
        </w:tc>
      </w:tr>
    </w:tbl>
    <w:p>
      <w:pPr>
        <w:spacing w:after="0"/>
      </w:pPr>
    </w:p>
    <w:p>
      <w:pPr>
        <w:spacing w:before="700"/>
        <w:jc w:val="center"/>
      </w:pPr>
      <w:r>
        <w:t>Este documento describe las decisiones vigentes hasta la versión 0.2.</w:t>
        <w:br/>
        <w:t>No sustituye los scripts SQL ni la documentación técnica detallada que se generará por módulo.</w:t>
      </w:r>
    </w:p>
    <w:p>
      <w:r>
        <w:br w:type="page"/>
      </w:r>
    </w:p>
    <w:p>
      <w:pPr>
        <w:pStyle w:val="Heading1"/>
      </w:pPr>
      <w:r>
        <w:t>1. Control del documento y versionado</w:t>
      </w:r>
    </w:p>
    <w:p>
      <w:r>
        <w:t>La documentación del proyecto será versionada. El Documento Maestro resume las decisiones vigentes y enlaza conceptualmente con documentos técnicos más específicos.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2EC"/>
            <w:tcMar>
              <w:top w:w="100" w:type="dxa"/>
              <w:start w:w="120" w:type="dxa"/>
              <w:bottom w:w="100" w:type="dxa"/>
              <w:end w:w="120" w:type="dxa"/>
            </w:tcMar>
          </w:tcPr>
          <w:p>
            <w:r>
              <w:rPr>
                <w:b/>
              </w:rPr>
              <w:t>Versión</w:t>
            </w:r>
          </w:p>
        </w:tc>
        <w:tc>
          <w:tcPr>
            <w:tcW w:type="dxa" w:w="2498"/>
            <w:shd w:fill="D9E2EC"/>
            <w:tcMar>
              <w:top w:w="100" w:type="dxa"/>
              <w:start w:w="120" w:type="dxa"/>
              <w:bottom w:w="100" w:type="dxa"/>
              <w:end w:w="120" w:type="dxa"/>
            </w:tcMar>
          </w:tcPr>
          <w:p>
            <w:r>
              <w:rPr>
                <w:b/>
              </w:rPr>
              <w:t>Fecha</w:t>
            </w:r>
          </w:p>
        </w:tc>
        <w:tc>
          <w:tcPr>
            <w:tcW w:type="dxa" w:w="2498"/>
            <w:shd w:fill="D9E2EC"/>
            <w:tcMar>
              <w:top w:w="100" w:type="dxa"/>
              <w:start w:w="120" w:type="dxa"/>
              <w:bottom w:w="100" w:type="dxa"/>
              <w:end w:w="120" w:type="dxa"/>
            </w:tcMar>
          </w:tcPr>
          <w:p>
            <w:r>
              <w:rPr>
                <w:b/>
              </w:rPr>
              <w:t>Estado</w:t>
            </w:r>
          </w:p>
        </w:tc>
        <w:tc>
          <w:tcPr>
            <w:tcW w:type="dxa" w:w="2498"/>
            <w:shd w:fill="D9E2EC"/>
            <w:tcMar>
              <w:top w:w="100" w:type="dxa"/>
              <w:start w:w="120" w:type="dxa"/>
              <w:bottom w:w="100" w:type="dxa"/>
              <w:end w:w="120" w:type="dxa"/>
            </w:tcMar>
          </w:tcPr>
          <w:p>
            <w:r>
              <w:rPr>
                <w:b/>
              </w:rPr>
              <w:t>Cambios principales</w:t>
            </w:r>
          </w:p>
        </w:tc>
      </w:tr>
      <w:tr>
        <w:tc>
          <w:tcPr>
            <w:tcW w:type="dxa" w:w="2498"/>
            <w:tcMar>
              <w:top w:w="100" w:type="dxa"/>
              <w:start w:w="120" w:type="dxa"/>
              <w:bottom w:w="100" w:type="dxa"/>
              <w:end w:w="120" w:type="dxa"/>
            </w:tcMar>
          </w:tcPr>
          <w:p>
            <w:r>
              <w:t>0.1</w:t>
            </w:r>
          </w:p>
        </w:tc>
        <w:tc>
          <w:tcPr>
            <w:tcW w:type="dxa" w:w="2498"/>
            <w:tcMar>
              <w:top w:w="100" w:type="dxa"/>
              <w:start w:w="120" w:type="dxa"/>
              <w:bottom w:w="100" w:type="dxa"/>
              <w:end w:w="120" w:type="dxa"/>
            </w:tcMar>
          </w:tcPr>
          <w:p>
            <w:r>
              <w:t>06/09/2026</w:t>
            </w:r>
          </w:p>
        </w:tc>
        <w:tc>
          <w:tcPr>
            <w:tcW w:type="dxa" w:w="2498"/>
            <w:tcMar>
              <w:top w:w="100" w:type="dxa"/>
              <w:start w:w="120" w:type="dxa"/>
              <w:bottom w:w="100" w:type="dxa"/>
              <w:end w:w="120" w:type="dxa"/>
            </w:tcMar>
          </w:tcPr>
          <w:p>
            <w:r>
              <w:t>Histórico</w:t>
            </w:r>
          </w:p>
        </w:tc>
        <w:tc>
          <w:tcPr>
            <w:tcW w:type="dxa" w:w="2498"/>
            <w:tcMar>
              <w:top w:w="100" w:type="dxa"/>
              <w:start w:w="120" w:type="dxa"/>
              <w:bottom w:w="100" w:type="dxa"/>
              <w:end w:w="120" w:type="dxa"/>
            </w:tcMar>
          </w:tcPr>
          <w:p>
            <w:r>
              <w:t>Definición inicial: arquitectura, multi-PC, roles, módulos, datos, UI, concurrencia, fiscal futuro y roadmap.</w:t>
            </w:r>
          </w:p>
        </w:tc>
      </w:tr>
      <w:tr>
        <w:tc>
          <w:tcPr>
            <w:tcW w:type="dxa" w:w="2498"/>
          </w:tcPr>
          <w:p>
            <w:r>
              <w:t>0.2</w:t>
            </w:r>
          </w:p>
        </w:tc>
        <w:tc>
          <w:tcPr>
            <w:tcW w:type="dxa" w:w="2498"/>
          </w:tcPr>
          <w:p>
            <w:r>
              <w:t>06/09/2026</w:t>
            </w:r>
          </w:p>
        </w:tc>
        <w:tc>
          <w:tcPr>
            <w:tcW w:type="dxa" w:w="2498"/>
          </w:tcPr>
          <w:p>
            <w:r>
              <w:t>Vigente</w:t>
            </w:r>
          </w:p>
        </w:tc>
        <w:tc>
          <w:tcPr>
            <w:tcW w:type="dxa" w:w="2498"/>
          </w:tcPr>
          <w:p>
            <w:r>
              <w:t>Nombre GoDental, branding, operación inicial (1 almacén/1 caja/2 laptops), métodos de pago, descuentos, devoluciones, promedio ponderado, listas de precio, crédito, documentos, códigos de barras, backups diarios y canales Online.</w:t>
            </w:r>
          </w:p>
        </w:tc>
      </w:tr>
    </w:tbl>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F3F5F7"/>
          </w:tcPr>
          <w:p>
            <w:r>
              <w:rPr>
                <w:b/>
                <w:sz w:val="21"/>
              </w:rPr>
              <w:t>Regla de actualización</w:t>
            </w:r>
            <w:r>
              <w:br/>
              <w:t>Cuando cambie una decisión estructural —por ejemplo arquitectura, reglas de inventario, fiscalidad, permisos, despliegue o modelo de datos— se incrementará la versión del Documento Maestro. Los cambios menores de redacción pueden usar revisiones 0.1.1, 0.1.2, etc.</w:t>
            </w:r>
          </w:p>
        </w:tc>
      </w:tr>
    </w:tbl>
    <w:p>
      <w:pPr>
        <w:spacing w:after="0"/>
      </w:pPr>
    </w:p>
    <w:p>
      <w:pPr>
        <w:pStyle w:val="Heading2"/>
      </w:pPr>
      <w:r>
        <w:t>Contenido</w:t>
      </w:r>
    </w:p>
    <w:p>
      <w:pPr>
        <w:pStyle w:val="ListBullet"/>
      </w:pPr>
      <w:r>
        <w:t>1. Control del documento y versionado</w:t>
      </w:r>
    </w:p>
    <w:p>
      <w:pPr>
        <w:pStyle w:val="ListBullet"/>
      </w:pPr>
      <w:r>
        <w:t>2. Visión y objetivo del sistema</w:t>
      </w:r>
    </w:p>
    <w:p>
      <w:pPr>
        <w:pStyle w:val="ListBullet"/>
      </w:pPr>
      <w:r>
        <w:t>3. Principios y reglas no negociables</w:t>
      </w:r>
    </w:p>
    <w:p>
      <w:pPr>
        <w:pStyle w:val="ListBullet"/>
      </w:pPr>
      <w:r>
        <w:t>4. Stack tecnológico</w:t>
      </w:r>
    </w:p>
    <w:p>
      <w:pPr>
        <w:pStyle w:val="ListBullet"/>
      </w:pPr>
      <w:r>
        <w:t>5. Arquitectura y organización de la solución</w:t>
      </w:r>
    </w:p>
    <w:p>
      <w:pPr>
        <w:pStyle w:val="ListBullet"/>
      </w:pPr>
      <w:r>
        <w:t>6. Despliegue, multi-PC y concurrencia</w:t>
      </w:r>
    </w:p>
    <w:p>
      <w:pPr>
        <w:pStyle w:val="ListBullet"/>
      </w:pPr>
      <w:r>
        <w:t>7. Usuarios, roles y permisos</w:t>
      </w:r>
    </w:p>
    <w:p>
      <w:pPr>
        <w:pStyle w:val="ListBullet"/>
      </w:pPr>
      <w:r>
        <w:t>8. Módulos funcionales</w:t>
      </w:r>
    </w:p>
    <w:p>
      <w:pPr>
        <w:pStyle w:val="ListBullet"/>
      </w:pPr>
      <w:r>
        <w:t>9. Modelo de datos de alto nivel</w:t>
      </w:r>
    </w:p>
    <w:p>
      <w:pPr>
        <w:pStyle w:val="ListBullet"/>
      </w:pPr>
      <w:r>
        <w:t>10. Reglas de inventario y costeo</w:t>
      </w:r>
    </w:p>
    <w:p>
      <w:pPr>
        <w:pStyle w:val="ListBullet"/>
      </w:pPr>
      <w:r>
        <w:t>11. Compras, importaciones China/DHL</w:t>
      </w:r>
    </w:p>
    <w:p>
      <w:pPr>
        <w:pStyle w:val="ListBullet"/>
      </w:pPr>
      <w:r>
        <w:t>12. Clientes, ventas, caja y crédito</w:t>
      </w:r>
    </w:p>
    <w:p>
      <w:pPr>
        <w:pStyle w:val="ListBullet"/>
      </w:pPr>
      <w:r>
        <w:t>13. Fiscal / DTE preparado para El Salvador</w:t>
      </w:r>
    </w:p>
    <w:p>
      <w:pPr>
        <w:pStyle w:val="ListBullet"/>
      </w:pPr>
      <w:r>
        <w:t>14. Inteligencia comercial y Dashboard</w:t>
      </w:r>
    </w:p>
    <w:p>
      <w:pPr>
        <w:pStyle w:val="ListBullet"/>
      </w:pPr>
      <w:r>
        <w:t>15. Módulo Online / prospección futura</w:t>
      </w:r>
    </w:p>
    <w:p>
      <w:pPr>
        <w:pStyle w:val="ListBullet"/>
      </w:pPr>
      <w:r>
        <w:t>16. UI/UX</w:t>
      </w:r>
    </w:p>
    <w:p>
      <w:pPr>
        <w:pStyle w:val="ListBullet"/>
      </w:pPr>
      <w:r>
        <w:t>17. Seguridad, auditoría y trazabilidad</w:t>
      </w:r>
    </w:p>
    <w:p>
      <w:pPr>
        <w:pStyle w:val="ListBullet"/>
      </w:pPr>
      <w:r>
        <w:t>18. Reglas de código, Git y base de datos</w:t>
      </w:r>
    </w:p>
    <w:p>
      <w:pPr>
        <w:pStyle w:val="ListBullet"/>
      </w:pPr>
      <w:r>
        <w:t>19. Roadmap de desarrollo</w:t>
      </w:r>
    </w:p>
    <w:p>
      <w:pPr>
        <w:pStyle w:val="ListBullet"/>
      </w:pPr>
      <w:r>
        <w:t>20. Pendientes por definir</w:t>
      </w:r>
    </w:p>
    <w:p>
      <w:pPr>
        <w:pStyle w:val="ListBullet"/>
      </w:pPr>
      <w:r>
        <w:t>21. Guía de uso como fuente del proyecto</w:t>
      </w:r>
    </w:p>
    <w:p>
      <w:pPr>
        <w:pStyle w:val="Heading1"/>
      </w:pPr>
      <w:r>
        <w:t>2. Visión y objetivo del sistema</w:t>
      </w:r>
    </w:p>
    <w:p>
      <w:r>
        <w:t>Construir un sistema de gestión comercial especializado en un depósito de insumos e instrumentos odontológicos en El Salvador. Debe comenzar siendo práctico para una operación pequeña, pero dejar una base sólida para crecer sin rehacer la solución.</w:t>
      </w:r>
    </w:p>
    <w:p>
      <w:pPr>
        <w:pStyle w:val="ListBullet"/>
      </w:pPr>
      <w:r>
        <w:t>Gestionar productos, lotes, vencimientos, existencias y movimientos de inventario.</w:t>
      </w:r>
    </w:p>
    <w:p>
      <w:pPr>
        <w:pStyle w:val="ListBullet"/>
      </w:pPr>
      <w:r>
        <w:t>Gestionar proveedores, compras, importaciones desde China y gastos asociados al costo real.</w:t>
      </w:r>
    </w:p>
    <w:p>
      <w:pPr>
        <w:pStyle w:val="ListBullet"/>
      </w:pPr>
      <w:r>
        <w:t>Gestionar clientes nacionales, cotizaciones, ventas, pagos, crédito y devoluciones.</w:t>
      </w:r>
    </w:p>
    <w:p>
      <w:pPr>
        <w:pStyle w:val="ListBullet"/>
      </w:pPr>
      <w:r>
        <w:t>Permitir que varios usuarios vendan simultáneamente desde distintas computadoras.</w:t>
      </w:r>
    </w:p>
    <w:p>
      <w:pPr>
        <w:pStyle w:val="ListBullet"/>
      </w:pPr>
      <w:r>
        <w:t>Ofrecer reportes, indicadores y recomendaciones comerciales accionables.</w:t>
      </w:r>
    </w:p>
    <w:p>
      <w:pPr>
        <w:pStyle w:val="ListBullet"/>
      </w:pPr>
      <w:r>
        <w:t>Dejar preparada la integración fiscal/DTE de El Salvador sin acoplar la venta al documento fiscal.</w:t>
      </w:r>
    </w:p>
    <w:p>
      <w:pPr>
        <w:pStyle w:val="ListBullet"/>
      </w:pPr>
      <w:r>
        <w:t>Dejar preparada una futura capa de prospección comercial Online, con cumplimiento y revisión humana.</w:t>
      </w:r>
    </w:p>
    <w:p>
      <w:pPr>
        <w:pStyle w:val="Heading1"/>
      </w:pPr>
      <w:r>
        <w:t>3. Principios y reglas no negociables</w:t>
      </w: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Separación de responsabilidades</w:t>
            </w:r>
            <w:r>
              <w:br/>
              <w:t>La UI no ejecutará SQL directamente. El flujo esperado será View → ViewModel → Application Service/Use Case → Repository → SQL Server.</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
              <w:rPr>
                <w:b/>
              </w:rPr>
              <w:t>Preparado para crecer</w:t>
              <w:br/>
            </w:r>
            <w:r>
              <w:rPr>
                <w:b w:val="0"/>
              </w:rPr>
              <w:t>Aunque la operación inicial contemple 2 laptops y pocos usuarios, el diseño debe soportar más estaciones de trabajo, cajas y usuarios simultáneos sin rehacer la solución.</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No copiar la clínica</w:t>
            </w:r>
            <w:r>
              <w:br/>
              <w:t>El proyecto ClinicaDentalMario sirve como referencia de aprendizajes y patrones, no como plantilla visual ni de dominio.</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Datos antes que pantallas</w:t>
            </w:r>
            <w:r>
              <w:br/>
              <w:t>Primero se define el dominio y el modelo de datos; después se construyen módulos visuales.</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Venta separada de fiscalidad</w:t>
            </w:r>
            <w:r>
              <w:br/>
              <w:t>Una Venta es una operación de negocio. Un DTE/DocumentoFiscal es una representación fiscal relacionada, no la misma entidad.</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Stock trazable</w:t>
            </w:r>
            <w:r>
              <w:br/>
              <w:t>Todo cambio de inventario debe poder explicarse por un movimiento: compra, venta, ajuste, devolución, transferencia, vencimiento o daño.</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Costos reales</w:t>
            </w:r>
            <w:r>
              <w:br/>
              <w:t>La rentabilidad debe usar costo puesto en bodega/landed cost, incorporando importación y logística cuando corresponda.</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Permisos, no hardcodes</w:t>
            </w:r>
            <w:r>
              <w:br/>
              <w:t>El acceso se gobierna mediante roles y permisos, no por condicionales rígidos dispersos.</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Transacciones atómicas</w:t>
            </w:r>
            <w:r>
              <w:br/>
              <w:t>Una venta, recepción de compra o pago que afecte varias tablas debe completarse entera o revertirse entera.</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Auditoría</w:t>
            </w:r>
            <w:r>
              <w:br/>
              <w:t>Cambios relevantes deben registrar usuario, fecha y contexto suficiente para reconstruir la operación.</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Sin secretos en el repositorio</w:t>
            </w:r>
            <w:r>
              <w:br/>
              <w:t>Credenciales, contraseñas, tokens y datos sensibles no se versionan en Git.</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Migraciones versionadas</w:t>
            </w:r>
            <w:r>
              <w:br/>
              <w:t>La base se evoluciona mediante scripts numerados y controlados; evitar un único Script00 monolítico como estrategia permanente.</w:t>
            </w:r>
          </w:p>
        </w:tc>
      </w:tr>
    </w:tbl>
    <w:p>
      <w:pPr>
        <w:spacing w:after="0"/>
      </w:pPr>
    </w:p>
    <w:p>
      <w:pPr>
        <w:pStyle w:val="Heading1"/>
      </w:pPr>
      <w:r>
        <w:t>4. Stack tecnológico</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2EC"/>
            <w:tcMar>
              <w:top w:w="100" w:type="dxa"/>
              <w:start w:w="120" w:type="dxa"/>
              <w:bottom w:w="100" w:type="dxa"/>
              <w:end w:w="120" w:type="dxa"/>
            </w:tcMar>
          </w:tcPr>
          <w:p>
            <w:r>
              <w:rPr>
                <w:b/>
              </w:rPr>
              <w:t>Componente</w:t>
            </w:r>
          </w:p>
        </w:tc>
        <w:tc>
          <w:tcPr>
            <w:tcW w:type="dxa" w:w="3331"/>
            <w:shd w:fill="D9E2EC"/>
            <w:tcMar>
              <w:top w:w="100" w:type="dxa"/>
              <w:start w:w="120" w:type="dxa"/>
              <w:bottom w:w="100" w:type="dxa"/>
              <w:end w:w="120" w:type="dxa"/>
            </w:tcMar>
          </w:tcPr>
          <w:p>
            <w:r>
              <w:rPr>
                <w:b/>
              </w:rPr>
              <w:t>Tecnología</w:t>
            </w:r>
          </w:p>
        </w:tc>
        <w:tc>
          <w:tcPr>
            <w:tcW w:type="dxa" w:w="3331"/>
            <w:shd w:fill="D9E2EC"/>
            <w:tcMar>
              <w:top w:w="100" w:type="dxa"/>
              <w:start w:w="120" w:type="dxa"/>
              <w:bottom w:w="100" w:type="dxa"/>
              <w:end w:w="120" w:type="dxa"/>
            </w:tcMar>
          </w:tcPr>
          <w:p>
            <w:r>
              <w:rPr>
                <w:b/>
              </w:rPr>
              <w:t>Decisión</w:t>
            </w:r>
          </w:p>
        </w:tc>
      </w:tr>
      <w:tr>
        <w:tc>
          <w:tcPr>
            <w:tcW w:type="dxa" w:w="3331"/>
            <w:tcMar>
              <w:top w:w="100" w:type="dxa"/>
              <w:start w:w="120" w:type="dxa"/>
              <w:bottom w:w="100" w:type="dxa"/>
              <w:end w:w="120" w:type="dxa"/>
            </w:tcMar>
          </w:tcPr>
          <w:p>
            <w:r>
              <w:t>Lenguaje principal</w:t>
            </w:r>
          </w:p>
        </w:tc>
        <w:tc>
          <w:tcPr>
            <w:tcW w:type="dxa" w:w="3331"/>
            <w:tcMar>
              <w:top w:w="100" w:type="dxa"/>
              <w:start w:w="120" w:type="dxa"/>
              <w:bottom w:w="100" w:type="dxa"/>
              <w:end w:w="120" w:type="dxa"/>
            </w:tcMar>
          </w:tcPr>
          <w:p>
            <w:r>
              <w:t>C#</w:t>
            </w:r>
          </w:p>
        </w:tc>
        <w:tc>
          <w:tcPr>
            <w:tcW w:type="dxa" w:w="3331"/>
            <w:tcMar>
              <w:top w:w="100" w:type="dxa"/>
              <w:start w:w="120" w:type="dxa"/>
              <w:bottom w:w="100" w:type="dxa"/>
              <w:end w:w="120" w:type="dxa"/>
            </w:tcMar>
          </w:tcPr>
          <w:p>
            <w:r>
              <w:t>Único lenguaje principal del sistema.</w:t>
            </w:r>
          </w:p>
        </w:tc>
      </w:tr>
      <w:tr>
        <w:tc>
          <w:tcPr>
            <w:tcW w:type="dxa" w:w="3331"/>
            <w:tcMar>
              <w:top w:w="100" w:type="dxa"/>
              <w:start w:w="120" w:type="dxa"/>
              <w:bottom w:w="100" w:type="dxa"/>
              <w:end w:w="120" w:type="dxa"/>
            </w:tcMar>
          </w:tcPr>
          <w:p>
            <w:r>
              <w:t>Runtime</w:t>
            </w:r>
          </w:p>
        </w:tc>
        <w:tc>
          <w:tcPr>
            <w:tcW w:type="dxa" w:w="3331"/>
            <w:tcMar>
              <w:top w:w="100" w:type="dxa"/>
              <w:start w:w="120" w:type="dxa"/>
              <w:bottom w:w="100" w:type="dxa"/>
              <w:end w:w="120" w:type="dxa"/>
            </w:tcMar>
          </w:tcPr>
          <w:p>
            <w:r>
              <w:t>.NET 8</w:t>
            </w:r>
          </w:p>
        </w:tc>
        <w:tc>
          <w:tcPr>
            <w:tcW w:type="dxa" w:w="3331"/>
            <w:tcMar>
              <w:top w:w="100" w:type="dxa"/>
              <w:start w:w="120" w:type="dxa"/>
              <w:bottom w:w="100" w:type="dxa"/>
              <w:end w:w="120" w:type="dxa"/>
            </w:tcMar>
          </w:tcPr>
          <w:p>
            <w:r>
              <w:t>Base de la solución.</w:t>
            </w:r>
          </w:p>
        </w:tc>
      </w:tr>
      <w:tr>
        <w:tc>
          <w:tcPr>
            <w:tcW w:type="dxa" w:w="3331"/>
            <w:tcMar>
              <w:top w:w="100" w:type="dxa"/>
              <w:start w:w="120" w:type="dxa"/>
              <w:bottom w:w="100" w:type="dxa"/>
              <w:end w:w="120" w:type="dxa"/>
            </w:tcMar>
          </w:tcPr>
          <w:p>
            <w:r>
              <w:t>Desktop UI</w:t>
            </w:r>
          </w:p>
        </w:tc>
        <w:tc>
          <w:tcPr>
            <w:tcW w:type="dxa" w:w="3331"/>
            <w:tcMar>
              <w:top w:w="100" w:type="dxa"/>
              <w:start w:w="120" w:type="dxa"/>
              <w:bottom w:w="100" w:type="dxa"/>
              <w:end w:w="120" w:type="dxa"/>
            </w:tcMar>
          </w:tcPr>
          <w:p>
            <w:r>
              <w:t>WPF</w:t>
            </w:r>
          </w:p>
        </w:tc>
        <w:tc>
          <w:tcPr>
            <w:tcW w:type="dxa" w:w="3331"/>
            <w:tcMar>
              <w:top w:w="100" w:type="dxa"/>
              <w:start w:w="120" w:type="dxa"/>
              <w:bottom w:w="100" w:type="dxa"/>
              <w:end w:w="120" w:type="dxa"/>
            </w:tcMar>
          </w:tcPr>
          <w:p>
            <w:r>
              <w:t>Aplicación de escritorio Windows.</w:t>
            </w:r>
          </w:p>
        </w:tc>
      </w:tr>
      <w:tr>
        <w:tc>
          <w:tcPr>
            <w:tcW w:type="dxa" w:w="3331"/>
            <w:tcMar>
              <w:top w:w="100" w:type="dxa"/>
              <w:start w:w="120" w:type="dxa"/>
              <w:bottom w:w="100" w:type="dxa"/>
              <w:end w:w="120" w:type="dxa"/>
            </w:tcMar>
          </w:tcPr>
          <w:p>
            <w:r>
              <w:t>Patrón UI</w:t>
            </w:r>
          </w:p>
        </w:tc>
        <w:tc>
          <w:tcPr>
            <w:tcW w:type="dxa" w:w="3331"/>
            <w:tcMar>
              <w:top w:w="100" w:type="dxa"/>
              <w:start w:w="120" w:type="dxa"/>
              <w:bottom w:w="100" w:type="dxa"/>
              <w:end w:w="120" w:type="dxa"/>
            </w:tcMar>
          </w:tcPr>
          <w:p>
            <w:r>
              <w:t>MVVM</w:t>
            </w:r>
          </w:p>
        </w:tc>
        <w:tc>
          <w:tcPr>
            <w:tcW w:type="dxa" w:w="3331"/>
            <w:tcMar>
              <w:top w:w="100" w:type="dxa"/>
              <w:start w:w="120" w:type="dxa"/>
              <w:bottom w:w="100" w:type="dxa"/>
              <w:end w:w="120" w:type="dxa"/>
            </w:tcMar>
          </w:tcPr>
          <w:p>
            <w:r>
              <w:t>Separación de View y lógica de presentación.</w:t>
            </w:r>
          </w:p>
        </w:tc>
      </w:tr>
      <w:tr>
        <w:tc>
          <w:tcPr>
            <w:tcW w:type="dxa" w:w="3331"/>
            <w:tcMar>
              <w:top w:w="100" w:type="dxa"/>
              <w:start w:w="120" w:type="dxa"/>
              <w:bottom w:w="100" w:type="dxa"/>
              <w:end w:w="120" w:type="dxa"/>
            </w:tcMar>
          </w:tcPr>
          <w:p>
            <w:r>
              <w:t>Base de datos</w:t>
            </w:r>
          </w:p>
        </w:tc>
        <w:tc>
          <w:tcPr>
            <w:tcW w:type="dxa" w:w="3331"/>
            <w:tcMar>
              <w:top w:w="100" w:type="dxa"/>
              <w:start w:w="120" w:type="dxa"/>
              <w:bottom w:w="100" w:type="dxa"/>
              <w:end w:w="120" w:type="dxa"/>
            </w:tcMar>
          </w:tcPr>
          <w:p>
            <w:r>
              <w:t>SQL Server</w:t>
            </w:r>
          </w:p>
        </w:tc>
        <w:tc>
          <w:tcPr>
            <w:tcW w:type="dxa" w:w="3331"/>
            <w:tcMar>
              <w:top w:w="100" w:type="dxa"/>
              <w:start w:w="120" w:type="dxa"/>
              <w:bottom w:w="100" w:type="dxa"/>
              <w:end w:w="120" w:type="dxa"/>
            </w:tcMar>
          </w:tcPr>
          <w:p>
            <w:r>
              <w:t>Servidor central para operación multi-PC.</w:t>
            </w:r>
          </w:p>
        </w:tc>
      </w:tr>
      <w:tr>
        <w:tc>
          <w:tcPr>
            <w:tcW w:type="dxa" w:w="3331"/>
            <w:tcMar>
              <w:top w:w="100" w:type="dxa"/>
              <w:start w:w="120" w:type="dxa"/>
              <w:bottom w:w="100" w:type="dxa"/>
              <w:end w:w="120" w:type="dxa"/>
            </w:tcMar>
          </w:tcPr>
          <w:p>
            <w:r>
              <w:t>Acceso a datos</w:t>
            </w:r>
          </w:p>
        </w:tc>
        <w:tc>
          <w:tcPr>
            <w:tcW w:type="dxa" w:w="3331"/>
            <w:tcMar>
              <w:top w:w="100" w:type="dxa"/>
              <w:start w:w="120" w:type="dxa"/>
              <w:bottom w:w="100" w:type="dxa"/>
              <w:end w:w="120" w:type="dxa"/>
            </w:tcMar>
          </w:tcPr>
          <w:p>
            <w:r>
              <w:t>Dapper</w:t>
            </w:r>
          </w:p>
        </w:tc>
        <w:tc>
          <w:tcPr>
            <w:tcW w:type="dxa" w:w="3331"/>
            <w:tcMar>
              <w:top w:w="100" w:type="dxa"/>
              <w:start w:w="120" w:type="dxa"/>
              <w:bottom w:w="100" w:type="dxa"/>
              <w:end w:w="120" w:type="dxa"/>
            </w:tcMar>
          </w:tcPr>
          <w:p>
            <w:r>
              <w:t>SQL explícito, parametrizado y controlado.</w:t>
            </w:r>
          </w:p>
        </w:tc>
      </w:tr>
      <w:tr>
        <w:tc>
          <w:tcPr>
            <w:tcW w:type="dxa" w:w="3331"/>
            <w:tcMar>
              <w:top w:w="100" w:type="dxa"/>
              <w:start w:w="120" w:type="dxa"/>
              <w:bottom w:w="100" w:type="dxa"/>
              <w:end w:w="120" w:type="dxa"/>
            </w:tcMar>
          </w:tcPr>
          <w:p>
            <w:r>
              <w:t>PDF</w:t>
            </w:r>
          </w:p>
        </w:tc>
        <w:tc>
          <w:tcPr>
            <w:tcW w:type="dxa" w:w="3331"/>
            <w:tcMar>
              <w:top w:w="100" w:type="dxa"/>
              <w:start w:w="120" w:type="dxa"/>
              <w:bottom w:w="100" w:type="dxa"/>
              <w:end w:w="120" w:type="dxa"/>
            </w:tcMar>
          </w:tcPr>
          <w:p>
            <w:r>
              <w:t>QuestPDF</w:t>
            </w:r>
          </w:p>
        </w:tc>
        <w:tc>
          <w:tcPr>
            <w:tcW w:type="dxa" w:w="3331"/>
            <w:tcMar>
              <w:top w:w="100" w:type="dxa"/>
              <w:start w:w="120" w:type="dxa"/>
              <w:bottom w:w="100" w:type="dxa"/>
              <w:end w:w="120" w:type="dxa"/>
            </w:tcMar>
          </w:tcPr>
          <w:p>
            <w:r>
              <w:t>Cotizaciones, recibos, órdenes, reportes y documentos internos.</w:t>
            </w:r>
          </w:p>
        </w:tc>
      </w:tr>
      <w:tr>
        <w:tc>
          <w:tcPr>
            <w:tcW w:type="dxa" w:w="3331"/>
            <w:tcMar>
              <w:top w:w="100" w:type="dxa"/>
              <w:start w:w="120" w:type="dxa"/>
              <w:bottom w:w="100" w:type="dxa"/>
              <w:end w:w="120" w:type="dxa"/>
            </w:tcMar>
          </w:tcPr>
          <w:p>
            <w:r>
              <w:t>DI</w:t>
            </w:r>
          </w:p>
        </w:tc>
        <w:tc>
          <w:tcPr>
            <w:tcW w:type="dxa" w:w="3331"/>
            <w:tcMar>
              <w:top w:w="100" w:type="dxa"/>
              <w:start w:w="120" w:type="dxa"/>
              <w:bottom w:w="100" w:type="dxa"/>
              <w:end w:w="120" w:type="dxa"/>
            </w:tcMar>
          </w:tcPr>
          <w:p>
            <w:r>
              <w:t>Microsoft.Extensions.DependencyInjection</w:t>
            </w:r>
          </w:p>
        </w:tc>
        <w:tc>
          <w:tcPr>
            <w:tcW w:type="dxa" w:w="3331"/>
            <w:tcMar>
              <w:top w:w="100" w:type="dxa"/>
              <w:start w:w="120" w:type="dxa"/>
              <w:bottom w:w="100" w:type="dxa"/>
              <w:end w:w="120" w:type="dxa"/>
            </w:tcMar>
          </w:tcPr>
          <w:p>
            <w:r>
              <w:t>Composición de dependencias desde el inicio.</w:t>
            </w:r>
          </w:p>
        </w:tc>
      </w:tr>
      <w:tr>
        <w:tc>
          <w:tcPr>
            <w:tcW w:type="dxa" w:w="3331"/>
            <w:tcMar>
              <w:top w:w="100" w:type="dxa"/>
              <w:start w:w="120" w:type="dxa"/>
              <w:bottom w:w="100" w:type="dxa"/>
              <w:end w:w="120" w:type="dxa"/>
            </w:tcMar>
          </w:tcPr>
          <w:p>
            <w:r>
              <w:t>Tareas futuras</w:t>
            </w:r>
          </w:p>
        </w:tc>
        <w:tc>
          <w:tcPr>
            <w:tcW w:type="dxa" w:w="3331"/>
            <w:tcMar>
              <w:top w:w="100" w:type="dxa"/>
              <w:start w:w="120" w:type="dxa"/>
              <w:bottom w:w="100" w:type="dxa"/>
              <w:end w:w="120" w:type="dxa"/>
            </w:tcMar>
          </w:tcPr>
          <w:p>
            <w:r>
              <w:t>Worker Service .NET</w:t>
            </w:r>
          </w:p>
        </w:tc>
        <w:tc>
          <w:tcPr>
            <w:tcW w:type="dxa" w:w="3331"/>
            <w:tcMar>
              <w:top w:w="100" w:type="dxa"/>
              <w:start w:w="120" w:type="dxa"/>
              <w:bottom w:w="100" w:type="dxa"/>
              <w:end w:w="120" w:type="dxa"/>
            </w:tcMar>
          </w:tcPr>
          <w:p>
            <w:r>
              <w:t>Procesos programados si deben ejecutarse aun con WPF cerrado.</w:t>
            </w:r>
          </w:p>
        </w:tc>
      </w:tr>
      <w:tr>
        <w:tc>
          <w:tcPr>
            <w:tcW w:type="dxa" w:w="3331"/>
            <w:tcMar>
              <w:top w:w="100" w:type="dxa"/>
              <w:start w:w="120" w:type="dxa"/>
              <w:bottom w:w="100" w:type="dxa"/>
              <w:end w:w="120" w:type="dxa"/>
            </w:tcMar>
          </w:tcPr>
          <w:p>
            <w:r>
              <w:t>Control de versiones</w:t>
            </w:r>
          </w:p>
        </w:tc>
        <w:tc>
          <w:tcPr>
            <w:tcW w:type="dxa" w:w="3331"/>
            <w:tcMar>
              <w:top w:w="100" w:type="dxa"/>
              <w:start w:w="120" w:type="dxa"/>
              <w:bottom w:w="100" w:type="dxa"/>
              <w:end w:w="120" w:type="dxa"/>
            </w:tcMar>
          </w:tcPr>
          <w:p>
            <w:r>
              <w:t>Git + GitHub</w:t>
            </w:r>
          </w:p>
        </w:tc>
        <w:tc>
          <w:tcPr>
            <w:tcW w:type="dxa" w:w="3331"/>
            <w:tcMar>
              <w:top w:w="100" w:type="dxa"/>
              <w:start w:w="120" w:type="dxa"/>
              <w:bottom w:w="100" w:type="dxa"/>
              <w:end w:w="120" w:type="dxa"/>
            </w:tcMar>
          </w:tcPr>
          <w:p>
            <w:r>
              <w:t>Ramas por módulo/cambio y PR antes de main.</w:t>
            </w:r>
          </w:p>
        </w:tc>
      </w:tr>
    </w:tbl>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Decisión sobre LocalDB</w:t>
            </w:r>
            <w:r>
              <w:br/>
              <w:t>No utilizar SQL Server LocalDB como base principal de producción de este proyecto. Para varias PCs se requiere una instancia de SQL Server accesible en la red local.</w:t>
            </w:r>
          </w:p>
        </w:tc>
      </w:tr>
    </w:tbl>
    <w:p>
      <w:pPr>
        <w:spacing w:after="0"/>
      </w:pPr>
    </w:p>
    <w:p>
      <w:pPr>
        <w:pStyle w:val="Heading1"/>
      </w:pPr>
      <w:r>
        <w:t>5. Arquitectura y organización de la solución</w:t>
      </w:r>
    </w:p>
    <w:p>
      <w:r>
        <w:t>Arquitectura moderada: suficiente separación para crecer, evitando sobreingeniería.</w:t>
      </w:r>
    </w:p>
    <w:p>
      <w:r>
        <w:rPr>
          <w:b/>
        </w:rPr>
        <w:t>GoDental.Domain</w:t>
      </w:r>
      <w:r>
        <w:t xml:space="preserve"> — Entities, Enums, ValueObjects, Rules. Sin dependencias de WPF, Dapper o SQL Server.</w:t>
      </w:r>
    </w:p>
    <w:p>
      <w:r>
        <w:rPr>
          <w:b/>
        </w:rPr>
        <w:t>GoDental.Application</w:t>
      </w:r>
      <w:r>
        <w:t xml:space="preserve"> — Interfaces, DTOs, Services, Validators y UseCases. Orquesta reglas y casos de uso.</w:t>
      </w:r>
    </w:p>
    <w:p>
      <w:r>
        <w:rPr>
          <w:b/>
        </w:rPr>
        <w:t>GoDental.Infrastructure</w:t>
      </w:r>
      <w:r>
        <w:t xml:space="preserve"> — Data, Repositories, PDF, Fiscal, Importaciones, Online. Implementa acceso externo.</w:t>
      </w:r>
    </w:p>
    <w:p>
      <w:r>
        <w:rPr>
          <w:b/>
        </w:rPr>
        <w:t>GoDental.Wpf</w:t>
      </w:r>
      <w:r>
        <w:t xml:space="preserve"> — Views, ViewModels, Navigation, Themes, Controls, Common. Presentación.</w:t>
      </w:r>
    </w:p>
    <w:p>
      <w:r>
        <w:rPr>
          <w:b/>
        </w:rPr>
        <w:t>GoDental.Worker (futuro)</w:t>
      </w:r>
      <w:r>
        <w:t xml:space="preserve"> — Tareas programadas/Online cuando deban ejecutarse fuera del ciclo de vida de WPF.</w:t>
      </w:r>
    </w:p>
    <w:p>
      <w:pPr/>
      <w:r>
        <w:rPr>
          <w:rFonts w:ascii="Consolas" w:hAnsi="Consolas"/>
          <w:sz w:val="19"/>
        </w:rPr>
        <w:t>GoDental.sln</w:t>
        <w:br/>
        <w:t>├── GoDental.Domain</w:t>
        <w:br/>
        <w:t>├── GoDental.Application</w:t>
        <w:br/>
        <w:t>├── GoDental.Infrastructure</w:t>
        <w:br/>
        <w:t>├── GoDental.Wpf</w:t>
        <w:br/>
        <w:t>└── GoDental.Worker   (futuro)</w:t>
      </w:r>
    </w:p>
    <w:p>
      <w:pPr>
        <w:pStyle w:val="Heading1"/>
      </w:pPr>
      <w:r>
        <w:t>6. Despliegue, multi-PC y concurrencia</w:t>
      </w:r>
    </w:p>
    <w:p>
      <w:r>
        <w:t>El escenario inicial de GoDental tendrá dos laptops con la aplicación y una sola base de datos SQL Server central. Inicialmente una PC principal podrá hospedar SQL Server y ejecutar también GoDental; la segunda laptop se conectará a esa instancia dentro de la red local. El diseño no debe asumir una única estación de trabajo.</w:t>
      </w:r>
    </w:p>
    <w:p>
      <w:pPr>
        <w:pStyle w:val="ListBullet"/>
      </w:pPr>
      <w:r>
        <w:t>Laptop/estación Administrador: puede vender y administrar.</w:t>
      </w:r>
    </w:p>
    <w:p>
      <w:pPr>
        <w:pStyle w:val="ListBullet"/>
      </w:pPr>
      <w:r>
        <w:t>Laptop/estación Vendedor: operaciones comerciales según permisos.</w:t>
      </w:r>
    </w:p>
    <w:p>
      <w:pPr>
        <w:pStyle w:val="ListBullet"/>
      </w:pPr>
      <w:r>
        <w:t>Segunda estación: podrá ser utilizada por otro vendedor o administrador según sesión y permisos.</w:t>
      </w:r>
    </w:p>
    <w:p>
      <w:pPr>
        <w:pStyle w:val="ListBullet"/>
      </w:pPr>
      <w:r>
        <w:t>SQL Server central: única fuente de datos operativos.</w:t>
      </w:r>
    </w:p>
    <w:p>
      <w:pPr>
        <w:pStyle w:val="ListBullet"/>
      </w:pPr>
      <w:r>
        <w:t>En crecimiento futuro, una API ASP.NET Core puede interponerse entre clientes remotos y SQL Server; no se expondrá SQL Server directamente a Internet.</w:t>
      </w: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Concurrencia obligatoria</w:t>
            </w:r>
            <w:r>
              <w:br/>
              <w:t>El sistema debe asumir que dos usuarios pueden intentar vender, editar o cobrar al mismo tiempo. El stock crítico, correlativos internos y operaciones multi-tabla se protegerán mediante transacciones, validaciones en servidor y control de concurrencia.</w:t>
            </w:r>
          </w:p>
        </w:tc>
      </w:tr>
    </w:tbl>
    <w:p>
      <w:pPr>
        <w:spacing w:after="0"/>
      </w:pPr>
    </w:p>
    <w:p>
      <w:pPr>
        <w:pStyle w:val="Heading2"/>
      </w:pPr>
      <w:r>
        <w:t>6.1 Estaciones de trabajo</w:t>
      </w:r>
    </w:p>
    <w:p>
      <w:r>
        <w:t>Se utilizará la entidad EquipoRegistrado/EstacionTrabajo para identificar desde qué laptop se ejecutó una operación. La instalación inicial contempla 2 laptops. La estación no sustituye al usuario: cada venta, cobro, devolución o ajuste debe identificar tanto al usuario como, cuando esté disponible, al equipo utilizado.</w:t>
      </w:r>
    </w:p>
    <w:p>
      <w:pPr>
        <w:pStyle w:val="ListBullet"/>
      </w:pPr>
      <w:r>
        <w:t>IdEquipo</w:t>
      </w:r>
    </w:p>
    <w:p>
      <w:pPr>
        <w:pStyle w:val="ListBullet"/>
      </w:pPr>
      <w:r>
        <w:t>NombreEquipo</w:t>
      </w:r>
    </w:p>
    <w:p>
      <w:pPr>
        <w:pStyle w:val="ListBullet"/>
      </w:pPr>
      <w:r>
        <w:t>Descripcion</w:t>
      </w:r>
    </w:p>
    <w:p>
      <w:pPr>
        <w:pStyle w:val="ListBullet"/>
      </w:pPr>
      <w:r>
        <w:t>Activo</w:t>
      </w:r>
    </w:p>
    <w:p>
      <w:pPr>
        <w:pStyle w:val="ListBullet"/>
      </w:pPr>
      <w:r>
        <w:t>UltimaConexion</w:t>
      </w:r>
    </w:p>
    <w:p>
      <w:pPr>
        <w:pStyle w:val="Heading1"/>
      </w:pPr>
      <w:r>
        <w:t>7. Usuarios, roles y permisos</w:t>
      </w:r>
    </w:p>
    <w:p>
      <w:r>
        <w:t>Roles iniciales esperados: Administrador y Vendedor. La implementación será por permisos para poder agregar roles en el futuro sin reescribir módulos.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2EC"/>
            <w:tcMar>
              <w:top w:w="100" w:type="dxa"/>
              <w:start w:w="120" w:type="dxa"/>
              <w:bottom w:w="100" w:type="dxa"/>
              <w:end w:w="120" w:type="dxa"/>
            </w:tcMar>
          </w:tcPr>
          <w:p>
            <w:r>
              <w:rPr>
                <w:b/>
              </w:rPr>
              <w:t>Área</w:t>
            </w:r>
          </w:p>
        </w:tc>
        <w:tc>
          <w:tcPr>
            <w:tcW w:type="dxa" w:w="3331"/>
            <w:shd w:fill="D9E2EC"/>
            <w:tcMar>
              <w:top w:w="100" w:type="dxa"/>
              <w:start w:w="120" w:type="dxa"/>
              <w:bottom w:w="100" w:type="dxa"/>
              <w:end w:w="120" w:type="dxa"/>
            </w:tcMar>
          </w:tcPr>
          <w:p>
            <w:r>
              <w:rPr>
                <w:b/>
              </w:rPr>
              <w:t>Administrador</w:t>
            </w:r>
          </w:p>
        </w:tc>
        <w:tc>
          <w:tcPr>
            <w:tcW w:type="dxa" w:w="3331"/>
            <w:shd w:fill="D9E2EC"/>
            <w:tcMar>
              <w:top w:w="100" w:type="dxa"/>
              <w:start w:w="120" w:type="dxa"/>
              <w:bottom w:w="100" w:type="dxa"/>
              <w:end w:w="120" w:type="dxa"/>
            </w:tcMar>
          </w:tcPr>
          <w:p>
            <w:r>
              <w:rPr>
                <w:b/>
              </w:rPr>
              <w:t>Vendedor</w:t>
            </w:r>
          </w:p>
        </w:tc>
      </w:tr>
      <w:tr>
        <w:tc>
          <w:tcPr>
            <w:tcW w:type="dxa" w:w="3331"/>
            <w:tcMar>
              <w:top w:w="100" w:type="dxa"/>
              <w:start w:w="120" w:type="dxa"/>
              <w:bottom w:w="100" w:type="dxa"/>
              <w:end w:w="120" w:type="dxa"/>
            </w:tcMar>
          </w:tcPr>
          <w:p>
            <w:r>
              <w:t>Ventas y cobros</w:t>
            </w:r>
          </w:p>
        </w:tc>
        <w:tc>
          <w:tcPr>
            <w:tcW w:type="dxa" w:w="3331"/>
            <w:tcMar>
              <w:top w:w="100" w:type="dxa"/>
              <w:start w:w="120" w:type="dxa"/>
              <w:bottom w:w="100" w:type="dxa"/>
              <w:end w:w="120" w:type="dxa"/>
            </w:tcMar>
          </w:tcPr>
          <w:p>
            <w:r>
              <w:t>Completo</w:t>
            </w:r>
          </w:p>
        </w:tc>
        <w:tc>
          <w:tcPr>
            <w:tcW w:type="dxa" w:w="3331"/>
            <w:tcMar>
              <w:top w:w="100" w:type="dxa"/>
              <w:start w:w="120" w:type="dxa"/>
              <w:bottom w:w="100" w:type="dxa"/>
              <w:end w:w="120" w:type="dxa"/>
            </w:tcMar>
          </w:tcPr>
          <w:p>
            <w:r>
              <w:t>Permitido</w:t>
            </w:r>
          </w:p>
        </w:tc>
      </w:tr>
      <w:tr>
        <w:tc>
          <w:tcPr>
            <w:tcW w:type="dxa" w:w="3331"/>
            <w:tcMar>
              <w:top w:w="100" w:type="dxa"/>
              <w:start w:w="120" w:type="dxa"/>
              <w:bottom w:w="100" w:type="dxa"/>
              <w:end w:w="120" w:type="dxa"/>
            </w:tcMar>
          </w:tcPr>
          <w:p>
            <w:r>
              <w:t>Clientes</w:t>
            </w:r>
          </w:p>
        </w:tc>
        <w:tc>
          <w:tcPr>
            <w:tcW w:type="dxa" w:w="3331"/>
            <w:tcMar>
              <w:top w:w="100" w:type="dxa"/>
              <w:start w:w="120" w:type="dxa"/>
              <w:bottom w:w="100" w:type="dxa"/>
              <w:end w:w="120" w:type="dxa"/>
            </w:tcMar>
          </w:tcPr>
          <w:p>
            <w:r>
              <w:t>Completo</w:t>
            </w:r>
          </w:p>
        </w:tc>
        <w:tc>
          <w:tcPr>
            <w:tcW w:type="dxa" w:w="3331"/>
            <w:tcMar>
              <w:top w:w="100" w:type="dxa"/>
              <w:start w:w="120" w:type="dxa"/>
              <w:bottom w:w="100" w:type="dxa"/>
              <w:end w:w="120" w:type="dxa"/>
            </w:tcMar>
          </w:tcPr>
          <w:p>
            <w:r>
              <w:t>Consulta/alta/edición según permiso</w:t>
            </w:r>
          </w:p>
        </w:tc>
      </w:tr>
      <w:tr>
        <w:tc>
          <w:tcPr>
            <w:tcW w:type="dxa" w:w="3331"/>
            <w:tcMar>
              <w:top w:w="100" w:type="dxa"/>
              <w:start w:w="120" w:type="dxa"/>
              <w:bottom w:w="100" w:type="dxa"/>
              <w:end w:w="120" w:type="dxa"/>
            </w:tcMar>
          </w:tcPr>
          <w:p>
            <w:r>
              <w:t>Inventario</w:t>
            </w:r>
          </w:p>
        </w:tc>
        <w:tc>
          <w:tcPr>
            <w:tcW w:type="dxa" w:w="3331"/>
            <w:tcMar>
              <w:top w:w="100" w:type="dxa"/>
              <w:start w:w="120" w:type="dxa"/>
              <w:bottom w:w="100" w:type="dxa"/>
              <w:end w:w="120" w:type="dxa"/>
            </w:tcMar>
          </w:tcPr>
          <w:p>
            <w:r>
              <w:t>Completo</w:t>
            </w:r>
          </w:p>
        </w:tc>
        <w:tc>
          <w:tcPr>
            <w:tcW w:type="dxa" w:w="3331"/>
            <w:tcMar>
              <w:top w:w="100" w:type="dxa"/>
              <w:start w:w="120" w:type="dxa"/>
              <w:bottom w:w="100" w:type="dxa"/>
              <w:end w:w="120" w:type="dxa"/>
            </w:tcMar>
          </w:tcPr>
          <w:p>
            <w:r>
              <w:t>Consulta y operaciones autorizadas</w:t>
            </w:r>
          </w:p>
        </w:tc>
      </w:tr>
      <w:tr>
        <w:tc>
          <w:tcPr>
            <w:tcW w:type="dxa" w:w="3331"/>
            <w:tcMar>
              <w:top w:w="100" w:type="dxa"/>
              <w:start w:w="120" w:type="dxa"/>
              <w:bottom w:w="100" w:type="dxa"/>
              <w:end w:w="120" w:type="dxa"/>
            </w:tcMar>
          </w:tcPr>
          <w:p>
            <w:r>
              <w:t>Costos y márgenes</w:t>
            </w:r>
          </w:p>
        </w:tc>
        <w:tc>
          <w:tcPr>
            <w:tcW w:type="dxa" w:w="3331"/>
            <w:tcMar>
              <w:top w:w="100" w:type="dxa"/>
              <w:start w:w="120" w:type="dxa"/>
              <w:bottom w:w="100" w:type="dxa"/>
              <w:end w:w="120" w:type="dxa"/>
            </w:tcMar>
          </w:tcPr>
          <w:p>
            <w:r>
              <w:t>Completo</w:t>
            </w:r>
          </w:p>
        </w:tc>
        <w:tc>
          <w:tcPr>
            <w:tcW w:type="dxa" w:w="3331"/>
            <w:tcMar>
              <w:top w:w="100" w:type="dxa"/>
              <w:start w:w="120" w:type="dxa"/>
              <w:bottom w:w="100" w:type="dxa"/>
              <w:end w:w="120" w:type="dxa"/>
            </w:tcMar>
          </w:tcPr>
          <w:p>
            <w:r>
              <w:t>Restringido por defecto</w:t>
            </w:r>
          </w:p>
        </w:tc>
      </w:tr>
      <w:tr>
        <w:tc>
          <w:tcPr>
            <w:tcW w:type="dxa" w:w="3331"/>
            <w:tcMar>
              <w:top w:w="100" w:type="dxa"/>
              <w:start w:w="120" w:type="dxa"/>
              <w:bottom w:w="100" w:type="dxa"/>
              <w:end w:w="120" w:type="dxa"/>
            </w:tcMar>
          </w:tcPr>
          <w:p>
            <w:r>
              <w:t>Compras/importaciones</w:t>
            </w:r>
          </w:p>
        </w:tc>
        <w:tc>
          <w:tcPr>
            <w:tcW w:type="dxa" w:w="3331"/>
            <w:tcMar>
              <w:top w:w="100" w:type="dxa"/>
              <w:start w:w="120" w:type="dxa"/>
              <w:bottom w:w="100" w:type="dxa"/>
              <w:end w:w="120" w:type="dxa"/>
            </w:tcMar>
          </w:tcPr>
          <w:p>
            <w:r>
              <w:t>Completo</w:t>
            </w:r>
          </w:p>
        </w:tc>
        <w:tc>
          <w:tcPr>
            <w:tcW w:type="dxa" w:w="3331"/>
            <w:tcMar>
              <w:top w:w="100" w:type="dxa"/>
              <w:start w:w="120" w:type="dxa"/>
              <w:bottom w:w="100" w:type="dxa"/>
              <w:end w:w="120" w:type="dxa"/>
            </w:tcMar>
          </w:tcPr>
          <w:p>
            <w:r>
              <w:t>Restringido por defecto</w:t>
            </w:r>
          </w:p>
        </w:tc>
      </w:tr>
      <w:tr>
        <w:tc>
          <w:tcPr>
            <w:tcW w:type="dxa" w:w="3331"/>
            <w:tcMar>
              <w:top w:w="100" w:type="dxa"/>
              <w:start w:w="120" w:type="dxa"/>
              <w:bottom w:w="100" w:type="dxa"/>
              <w:end w:w="120" w:type="dxa"/>
            </w:tcMar>
          </w:tcPr>
          <w:p>
            <w:r>
              <w:t>Usuarios/roles/permisos</w:t>
            </w:r>
          </w:p>
        </w:tc>
        <w:tc>
          <w:tcPr>
            <w:tcW w:type="dxa" w:w="3331"/>
            <w:tcMar>
              <w:top w:w="100" w:type="dxa"/>
              <w:start w:w="120" w:type="dxa"/>
              <w:bottom w:w="100" w:type="dxa"/>
              <w:end w:w="120" w:type="dxa"/>
            </w:tcMar>
          </w:tcPr>
          <w:p>
            <w:r>
              <w:t>Completo</w:t>
            </w:r>
          </w:p>
        </w:tc>
        <w:tc>
          <w:tcPr>
            <w:tcW w:type="dxa" w:w="3331"/>
            <w:tcMar>
              <w:top w:w="100" w:type="dxa"/>
              <w:start w:w="120" w:type="dxa"/>
              <w:bottom w:w="100" w:type="dxa"/>
              <w:end w:w="120" w:type="dxa"/>
            </w:tcMar>
          </w:tcPr>
          <w:p>
            <w:r>
              <w:t>No</w:t>
            </w:r>
          </w:p>
        </w:tc>
      </w:tr>
      <w:tr>
        <w:tc>
          <w:tcPr>
            <w:tcW w:type="dxa" w:w="3331"/>
            <w:tcMar>
              <w:top w:w="100" w:type="dxa"/>
              <w:start w:w="120" w:type="dxa"/>
              <w:bottom w:w="100" w:type="dxa"/>
              <w:end w:w="120" w:type="dxa"/>
            </w:tcMar>
          </w:tcPr>
          <w:p>
            <w:r>
              <w:t>Configuración fiscal/sistema</w:t>
            </w:r>
          </w:p>
        </w:tc>
        <w:tc>
          <w:tcPr>
            <w:tcW w:type="dxa" w:w="3331"/>
            <w:tcMar>
              <w:top w:w="100" w:type="dxa"/>
              <w:start w:w="120" w:type="dxa"/>
              <w:bottom w:w="100" w:type="dxa"/>
              <w:end w:w="120" w:type="dxa"/>
            </w:tcMar>
          </w:tcPr>
          <w:p>
            <w:r>
              <w:t>Completo</w:t>
            </w:r>
          </w:p>
        </w:tc>
        <w:tc>
          <w:tcPr>
            <w:tcW w:type="dxa" w:w="3331"/>
            <w:tcMar>
              <w:top w:w="100" w:type="dxa"/>
              <w:start w:w="120" w:type="dxa"/>
              <w:bottom w:w="100" w:type="dxa"/>
              <w:end w:w="120" w:type="dxa"/>
            </w:tcMar>
          </w:tcPr>
          <w:p>
            <w:r>
              <w:t>No</w:t>
            </w:r>
          </w:p>
        </w:tc>
      </w:tr>
      <w:tr>
        <w:tc>
          <w:tcPr>
            <w:tcW w:type="dxa" w:w="3331"/>
            <w:tcMar>
              <w:top w:w="100" w:type="dxa"/>
              <w:start w:w="120" w:type="dxa"/>
              <w:bottom w:w="100" w:type="dxa"/>
              <w:end w:w="120" w:type="dxa"/>
            </w:tcMar>
          </w:tcPr>
          <w:p>
            <w:r>
              <w:t>Reportes</w:t>
            </w:r>
          </w:p>
        </w:tc>
        <w:tc>
          <w:tcPr>
            <w:tcW w:type="dxa" w:w="3331"/>
            <w:tcMar>
              <w:top w:w="100" w:type="dxa"/>
              <w:start w:w="120" w:type="dxa"/>
              <w:bottom w:w="100" w:type="dxa"/>
              <w:end w:w="120" w:type="dxa"/>
            </w:tcMar>
          </w:tcPr>
          <w:p>
            <w:r>
              <w:t>Completo</w:t>
            </w:r>
          </w:p>
        </w:tc>
        <w:tc>
          <w:tcPr>
            <w:tcW w:type="dxa" w:w="3331"/>
            <w:tcMar>
              <w:top w:w="100" w:type="dxa"/>
              <w:start w:w="120" w:type="dxa"/>
              <w:bottom w:w="100" w:type="dxa"/>
              <w:end w:w="120" w:type="dxa"/>
            </w:tcMar>
          </w:tcPr>
          <w:p>
            <w:r>
              <w:t>Según permiso</w:t>
            </w:r>
          </w:p>
        </w:tc>
      </w:tr>
    </w:tbl>
    <w:p>
      <w:pPr>
        <w:pStyle w:val="Heading2"/>
      </w:pPr>
      <w:r>
        <w:t>7.1 Entidades mínimas de seguridad</w:t>
      </w:r>
    </w:p>
    <w:p>
      <w:pPr>
        <w:pStyle w:val="ListBullet"/>
      </w:pPr>
      <w:r>
        <w:t>Usuarios</w:t>
      </w:r>
    </w:p>
    <w:p>
      <w:pPr>
        <w:pStyle w:val="ListBullet"/>
      </w:pPr>
      <w:r>
        <w:t>Roles</w:t>
      </w:r>
    </w:p>
    <w:p>
      <w:pPr>
        <w:pStyle w:val="ListBullet"/>
      </w:pPr>
      <w:r>
        <w:t>Permisos</w:t>
      </w:r>
    </w:p>
    <w:p>
      <w:pPr>
        <w:pStyle w:val="ListBullet"/>
      </w:pPr>
      <w:r>
        <w:t>UsuarioRol</w:t>
      </w:r>
    </w:p>
    <w:p>
      <w:pPr>
        <w:pStyle w:val="ListBullet"/>
      </w:pPr>
      <w:r>
        <w:t>RolPermiso</w:t>
      </w:r>
    </w:p>
    <w:p>
      <w:pPr>
        <w:pStyle w:val="ListBullet"/>
      </w:pPr>
      <w:r>
        <w:t>Bitacora/Auditoria</w:t>
      </w:r>
    </w:p>
    <w:p>
      <w:pPr>
        <w:pStyle w:val="Heading1"/>
      </w:pPr>
      <w:r>
        <w:t>8. Módulos funcionales</w:t>
      </w:r>
    </w:p>
    <w:p>
      <w:r>
        <w:rPr>
          <w:b/>
        </w:rPr>
        <w:t>Dashboard</w:t>
      </w:r>
      <w:r>
        <w:t xml:space="preserve"> — Indicadores, alertas y recomendaciones accionables.</w:t>
      </w:r>
    </w:p>
    <w:p>
      <w:r>
        <w:rPr>
          <w:b/>
        </w:rPr>
        <w:t>Productos e Inventario</w:t>
      </w:r>
      <w:r>
        <w:t xml:space="preserve"> — Productos, categorías, marcas, unidades, lotes, vencimientos, existencias, movimientos y conteos.</w:t>
      </w:r>
    </w:p>
    <w:p>
      <w:r>
        <w:rPr>
          <w:b/>
        </w:rPr>
        <w:t>Proveedores y Compras</w:t>
      </w:r>
      <w:r>
        <w:t xml:space="preserve"> — Proveedores, productos por proveedor, órdenes y recepciones.</w:t>
      </w:r>
    </w:p>
    <w:p>
      <w:r>
        <w:rPr>
          <w:b/>
        </w:rPr>
        <w:t>Importaciones</w:t>
      </w:r>
      <w:r>
        <w:t xml:space="preserve"> — Seguimiento de importaciones, eventos, documentos y gastos; preparado para DHL.</w:t>
      </w:r>
    </w:p>
    <w:p>
      <w:r>
        <w:rPr>
          <w:b/>
        </w:rPr>
        <w:t>Clientes</w:t>
      </w:r>
      <w:r>
        <w:t xml:space="preserve"> — Clientes, contactos, direcciones y datos fiscales.</w:t>
      </w:r>
    </w:p>
    <w:p>
      <w:r>
        <w:rPr>
          <w:b/>
        </w:rPr>
        <w:t>Ventas</w:t>
      </w:r>
      <w:r>
        <w:t xml:space="preserve"> — Cotizaciones, ventas, detalles, descuentos, devoluciones y documentos asociados.</w:t>
      </w:r>
    </w:p>
    <w:p>
      <w:r>
        <w:rPr>
          <w:b/>
        </w:rPr>
        <w:t>Caja y Cobros</w:t>
      </w:r>
      <w:r>
        <w:t xml:space="preserve"> — Cajas, turnos, movimientos, formas de pago y arqueos.</w:t>
      </w:r>
    </w:p>
    <w:p>
      <w:r>
        <w:rPr>
          <w:b/>
        </w:rPr>
        <w:t>Crédito / CxC</w:t>
      </w:r>
      <w:r>
        <w:t xml:space="preserve"> — Límites, plazos, cuentas por cobrar, abonos y morosidad.</w:t>
      </w:r>
    </w:p>
    <w:p>
      <w:r>
        <w:rPr>
          <w:b/>
        </w:rPr>
        <w:t>Precios y Promociones</w:t>
      </w:r>
      <w:r>
        <w:t xml:space="preserve"> — Listas de precios, promociones, combos y reglas comerciales.</w:t>
      </w:r>
    </w:p>
    <w:p>
      <w:r>
        <w:rPr>
          <w:b/>
        </w:rPr>
        <w:t>Reportes</w:t>
      </w:r>
      <w:r>
        <w:t xml:space="preserve"> — Ventas, rentabilidad, inventario, compras, CxC, clientes, campañas.</w:t>
      </w:r>
    </w:p>
    <w:p>
      <w:r>
        <w:rPr>
          <w:b/>
        </w:rPr>
        <w:t>Fiscal / DTE</w:t>
      </w:r>
      <w:r>
        <w:t xml:space="preserve"> — Capa separada para documentos fiscales electrónicos futuros.</w:t>
      </w:r>
    </w:p>
    <w:p>
      <w:r>
        <w:rPr>
          <w:b/>
        </w:rPr>
        <w:t>Comercial / Online</w:t>
      </w:r>
      <w:r>
        <w:t xml:space="preserve"> — Prospectos, zonas, campañas, comunicaciones y lista no contactar.</w:t>
      </w:r>
    </w:p>
    <w:p>
      <w:r>
        <w:rPr>
          <w:b/>
        </w:rPr>
        <w:t>Ajustes / Seguridad</w:t>
      </w:r>
      <w:r>
        <w:t xml:space="preserve"> — Usuarios, roles, permisos, parámetros, bitácora y configuración.</w:t>
      </w:r>
    </w:p>
    <w:p>
      <w:r>
        <w:t>Etiquetas y códigos de barras — Generación/impresión de códigos propios cuando el producto no tenga uno adecuado, manteniendo compatibilidad con códigos del proveedor y lectores tipo teclado.</w:t>
      </w:r>
    </w:p>
    <w:p>
      <w:pPr>
        <w:pStyle w:val="Heading1"/>
      </w:pPr>
      <w:r>
        <w:t>9. Modelo de datos de alto nivel</w:t>
      </w:r>
    </w:p>
    <w:p>
      <w:pPr>
        <w:pStyle w:val="Heading2"/>
      </w:pPr>
      <w:r>
        <w:t>SEGURIDAD</w:t>
      </w:r>
    </w:p>
    <w:p>
      <w:pPr>
        <w:pStyle w:val="ListBullet"/>
      </w:pPr>
      <w:r>
        <w:t>Usuarios</w:t>
      </w:r>
    </w:p>
    <w:p>
      <w:pPr>
        <w:pStyle w:val="ListBullet"/>
      </w:pPr>
      <w:r>
        <w:t>Roles</w:t>
      </w:r>
    </w:p>
    <w:p>
      <w:pPr>
        <w:pStyle w:val="ListBullet"/>
      </w:pPr>
      <w:r>
        <w:t>Permisos</w:t>
      </w:r>
    </w:p>
    <w:p>
      <w:pPr>
        <w:pStyle w:val="ListBullet"/>
      </w:pPr>
      <w:r>
        <w:t>UsuarioRol</w:t>
      </w:r>
    </w:p>
    <w:p>
      <w:pPr>
        <w:pStyle w:val="ListBullet"/>
      </w:pPr>
      <w:r>
        <w:t>RolPermiso</w:t>
      </w:r>
    </w:p>
    <w:p>
      <w:pPr>
        <w:pStyle w:val="ListBullet"/>
      </w:pPr>
      <w:r>
        <w:t>Bitacora</w:t>
      </w:r>
    </w:p>
    <w:p>
      <w:pPr>
        <w:pStyle w:val="Heading2"/>
      </w:pPr>
      <w:r>
        <w:t>CATÁLOGOS</w:t>
      </w:r>
    </w:p>
    <w:p>
      <w:pPr>
        <w:pStyle w:val="ListBullet"/>
      </w:pPr>
      <w:r>
        <w:t>CategoriasProducto</w:t>
      </w:r>
    </w:p>
    <w:p>
      <w:pPr>
        <w:pStyle w:val="ListBullet"/>
      </w:pPr>
      <w:r>
        <w:t>Marcas</w:t>
      </w:r>
    </w:p>
    <w:p>
      <w:pPr>
        <w:pStyle w:val="ListBullet"/>
      </w:pPr>
      <w:r>
        <w:t>UnidadesMedida</w:t>
      </w:r>
    </w:p>
    <w:p>
      <w:pPr>
        <w:pStyle w:val="Heading2"/>
      </w:pPr>
      <w:r>
        <w:t>INVENTARIO</w:t>
      </w:r>
    </w:p>
    <w:p>
      <w:pPr>
        <w:pStyle w:val="ListBullet"/>
      </w:pPr>
      <w:r>
        <w:t>Productos</w:t>
      </w:r>
    </w:p>
    <w:p>
      <w:pPr>
        <w:pStyle w:val="ListBullet"/>
      </w:pPr>
      <w:r>
        <w:t>LotesProducto</w:t>
      </w:r>
    </w:p>
    <w:p>
      <w:pPr>
        <w:pStyle w:val="ListBullet"/>
      </w:pPr>
      <w:r>
        <w:t>Almacenes</w:t>
      </w:r>
    </w:p>
    <w:p>
      <w:pPr>
        <w:pStyle w:val="ListBullet"/>
      </w:pPr>
      <w:r>
        <w:t>Existencias</w:t>
      </w:r>
    </w:p>
    <w:p>
      <w:pPr>
        <w:pStyle w:val="ListBullet"/>
      </w:pPr>
      <w:r>
        <w:t>MovimientosInventario</w:t>
      </w:r>
    </w:p>
    <w:p>
      <w:pPr>
        <w:pStyle w:val="ListBullet"/>
      </w:pPr>
      <w:r>
        <w:t>ConteosInventario</w:t>
      </w:r>
    </w:p>
    <w:p>
      <w:pPr>
        <w:pStyle w:val="ListBullet"/>
      </w:pPr>
      <w:r>
        <w:t>ConteosInventarioDetalle</w:t>
      </w:r>
    </w:p>
    <w:p>
      <w:pPr>
        <w:pStyle w:val="Heading2"/>
      </w:pPr>
      <w:r>
        <w:t>PROVEEDORES / IMPORTACIÓN</w:t>
      </w:r>
    </w:p>
    <w:p>
      <w:pPr>
        <w:pStyle w:val="ListBullet"/>
      </w:pPr>
      <w:r>
        <w:t>Proveedores</w:t>
      </w:r>
    </w:p>
    <w:p>
      <w:pPr>
        <w:pStyle w:val="ListBullet"/>
      </w:pPr>
      <w:r>
        <w:t>ProveedorContactos</w:t>
      </w:r>
    </w:p>
    <w:p>
      <w:pPr>
        <w:pStyle w:val="ListBullet"/>
      </w:pPr>
      <w:r>
        <w:t>ProveedorProductos</w:t>
      </w:r>
    </w:p>
    <w:p>
      <w:pPr>
        <w:pStyle w:val="ListBullet"/>
      </w:pPr>
      <w:r>
        <w:t>OrdenesCompra</w:t>
      </w:r>
    </w:p>
    <w:p>
      <w:pPr>
        <w:pStyle w:val="ListBullet"/>
      </w:pPr>
      <w:r>
        <w:t>OrdenCompraDetalle</w:t>
      </w:r>
    </w:p>
    <w:p>
      <w:pPr>
        <w:pStyle w:val="ListBullet"/>
      </w:pPr>
      <w:r>
        <w:t>Importaciones</w:t>
      </w:r>
    </w:p>
    <w:p>
      <w:pPr>
        <w:pStyle w:val="ListBullet"/>
      </w:pPr>
      <w:r>
        <w:t>EventosImportacion</w:t>
      </w:r>
    </w:p>
    <w:p>
      <w:pPr>
        <w:pStyle w:val="ListBullet"/>
      </w:pPr>
      <w:r>
        <w:t>GastosImportacion</w:t>
      </w:r>
    </w:p>
    <w:p>
      <w:pPr>
        <w:pStyle w:val="ListBullet"/>
      </w:pPr>
      <w:r>
        <w:t>DocumentosImportacion</w:t>
      </w:r>
    </w:p>
    <w:p>
      <w:pPr>
        <w:pStyle w:val="ListBullet"/>
      </w:pPr>
      <w:r>
        <w:t>RecepcionesCompra</w:t>
      </w:r>
    </w:p>
    <w:p>
      <w:pPr>
        <w:pStyle w:val="ListBullet"/>
      </w:pPr>
      <w:r>
        <w:t>RecepcionCompraDetalle</w:t>
      </w:r>
    </w:p>
    <w:p>
      <w:pPr>
        <w:pStyle w:val="Heading2"/>
      </w:pPr>
      <w:r>
        <w:t>CLIENTES</w:t>
      </w:r>
    </w:p>
    <w:p>
      <w:pPr>
        <w:pStyle w:val="ListBullet"/>
      </w:pPr>
      <w:r>
        <w:t>Clientes</w:t>
      </w:r>
    </w:p>
    <w:p>
      <w:pPr>
        <w:pStyle w:val="ListBullet"/>
      </w:pPr>
      <w:r>
        <w:t>ClienteContactos</w:t>
      </w:r>
    </w:p>
    <w:p>
      <w:pPr>
        <w:pStyle w:val="ListBullet"/>
      </w:pPr>
      <w:r>
        <w:t>ClienteDirecciones</w:t>
      </w:r>
    </w:p>
    <w:p>
      <w:pPr>
        <w:pStyle w:val="Heading2"/>
      </w:pPr>
      <w:r>
        <w:t>VENTAS</w:t>
      </w:r>
    </w:p>
    <w:p>
      <w:pPr>
        <w:pStyle w:val="ListBullet"/>
      </w:pPr>
      <w:r>
        <w:t>Cotizaciones</w:t>
      </w:r>
    </w:p>
    <w:p>
      <w:pPr>
        <w:pStyle w:val="ListBullet"/>
      </w:pPr>
      <w:r>
        <w:t>CotizacionDetalle</w:t>
      </w:r>
    </w:p>
    <w:p>
      <w:pPr>
        <w:pStyle w:val="ListBullet"/>
      </w:pPr>
      <w:r>
        <w:t>Ventas</w:t>
      </w:r>
    </w:p>
    <w:p>
      <w:pPr>
        <w:pStyle w:val="ListBullet"/>
      </w:pPr>
      <w:r>
        <w:t>VentaDetalle</w:t>
      </w:r>
    </w:p>
    <w:p>
      <w:pPr>
        <w:pStyle w:val="ListBullet"/>
      </w:pPr>
      <w:r>
        <w:t>PagosVenta</w:t>
      </w:r>
    </w:p>
    <w:p>
      <w:pPr>
        <w:pStyle w:val="ListBullet"/>
      </w:pPr>
      <w:r>
        <w:t>CuentasPorCobrar</w:t>
      </w:r>
    </w:p>
    <w:p>
      <w:pPr>
        <w:pStyle w:val="ListBullet"/>
      </w:pPr>
      <w:r>
        <w:t>AbonosCliente</w:t>
      </w:r>
    </w:p>
    <w:p>
      <w:pPr>
        <w:pStyle w:val="ListBullet"/>
      </w:pPr>
      <w:r>
        <w:t>DevolucionesVenta</w:t>
      </w:r>
    </w:p>
    <w:p>
      <w:pPr>
        <w:pStyle w:val="ListBullet"/>
      </w:pPr>
      <w:r>
        <w:t>DevolucionVentaDetalle</w:t>
      </w:r>
    </w:p>
    <w:p>
      <w:pPr>
        <w:pStyle w:val="Heading2"/>
      </w:pPr>
      <w:r>
        <w:t>CAJA</w:t>
      </w:r>
    </w:p>
    <w:p>
      <w:pPr>
        <w:pStyle w:val="ListBullet"/>
      </w:pPr>
      <w:r>
        <w:t>Cajas</w:t>
      </w:r>
    </w:p>
    <w:p>
      <w:pPr>
        <w:pStyle w:val="ListBullet"/>
      </w:pPr>
      <w:r>
        <w:t>TurnosCaja</w:t>
      </w:r>
    </w:p>
    <w:p>
      <w:pPr>
        <w:pStyle w:val="ListBullet"/>
      </w:pPr>
      <w:r>
        <w:t>MovimientosCaja</w:t>
      </w:r>
    </w:p>
    <w:p>
      <w:pPr>
        <w:pStyle w:val="Heading2"/>
      </w:pPr>
      <w:r>
        <w:t>PRECIOS / PROMOCIONES</w:t>
      </w:r>
    </w:p>
    <w:p>
      <w:pPr>
        <w:pStyle w:val="ListBullet"/>
      </w:pPr>
      <w:r>
        <w:t>ListasPrecio</w:t>
      </w:r>
    </w:p>
    <w:p>
      <w:pPr>
        <w:pStyle w:val="ListBullet"/>
      </w:pPr>
      <w:r>
        <w:t>ProductoListaPrecio</w:t>
      </w:r>
    </w:p>
    <w:p>
      <w:pPr>
        <w:pStyle w:val="ListBullet"/>
      </w:pPr>
      <w:r>
        <w:t>Promociones</w:t>
      </w:r>
    </w:p>
    <w:p>
      <w:pPr>
        <w:pStyle w:val="ListBullet"/>
      </w:pPr>
      <w:r>
        <w:t>PromocionDetalle</w:t>
      </w:r>
    </w:p>
    <w:p>
      <w:pPr>
        <w:pStyle w:val="Heading2"/>
      </w:pPr>
      <w:r>
        <w:t>FISCAL</w:t>
      </w:r>
    </w:p>
    <w:p>
      <w:pPr>
        <w:pStyle w:val="ListBullet"/>
      </w:pPr>
      <w:r>
        <w:t>DocumentosFiscales</w:t>
      </w:r>
    </w:p>
    <w:p>
      <w:pPr>
        <w:pStyle w:val="ListBullet"/>
      </w:pPr>
      <w:r>
        <w:t>DocumentosDte</w:t>
      </w:r>
    </w:p>
    <w:p>
      <w:pPr>
        <w:pStyle w:val="ListBullet"/>
      </w:pPr>
      <w:r>
        <w:t>EventosDte</w:t>
      </w:r>
    </w:p>
    <w:p>
      <w:pPr>
        <w:pStyle w:val="ListBullet"/>
      </w:pPr>
      <w:r>
        <w:t>ConfiguracionFiscal</w:t>
      </w:r>
    </w:p>
    <w:p>
      <w:pPr>
        <w:pStyle w:val="Heading2"/>
      </w:pPr>
      <w:r>
        <w:t>COMERCIAL</w:t>
      </w:r>
    </w:p>
    <w:p>
      <w:pPr>
        <w:pStyle w:val="ListBullet"/>
      </w:pPr>
      <w:r>
        <w:t>Prospectos</w:t>
      </w:r>
    </w:p>
    <w:p>
      <w:pPr>
        <w:pStyle w:val="ListBullet"/>
      </w:pPr>
      <w:r>
        <w:t>ZonasProspeccion</w:t>
      </w:r>
    </w:p>
    <w:p>
      <w:pPr>
        <w:pStyle w:val="ListBullet"/>
      </w:pPr>
      <w:r>
        <w:t>EjecucionesProspeccion</w:t>
      </w:r>
    </w:p>
    <w:p>
      <w:pPr>
        <w:pStyle w:val="ListBullet"/>
      </w:pPr>
      <w:r>
        <w:t>Campanias</w:t>
      </w:r>
    </w:p>
    <w:p>
      <w:pPr>
        <w:pStyle w:val="ListBullet"/>
      </w:pPr>
      <w:r>
        <w:t>CampaniaDestinatarios</w:t>
      </w:r>
    </w:p>
    <w:p>
      <w:pPr>
        <w:pStyle w:val="ListBullet"/>
      </w:pPr>
      <w:r>
        <w:t>PlantillasMensaje</w:t>
      </w:r>
    </w:p>
    <w:p>
      <w:pPr>
        <w:pStyle w:val="ListBullet"/>
      </w:pPr>
      <w:r>
        <w:t>ComunicacionesComerciales</w:t>
      </w:r>
    </w:p>
    <w:p>
      <w:pPr>
        <w:pStyle w:val="ListBullet"/>
      </w:pPr>
      <w:r>
        <w:t>ListaNoContactar</w:t>
      </w:r>
    </w:p>
    <w:p>
      <w:pPr>
        <w:pStyle w:val="Heading2"/>
      </w:pPr>
      <w:r>
        <w:t>SISTEMA</w:t>
      </w:r>
    </w:p>
    <w:p>
      <w:pPr>
        <w:pStyle w:val="ListBullet"/>
      </w:pPr>
      <w:r>
        <w:t>Configuracion</w:t>
      </w:r>
    </w:p>
    <w:p>
      <w:pPr>
        <w:pStyle w:val="ListBullet"/>
      </w:pPr>
      <w:r>
        <w:t>EquiposRegistrados</w:t>
      </w:r>
    </w:p>
    <w:p>
      <w:pPr>
        <w:pStyle w:val="ListBullet"/>
      </w:pPr>
      <w:r>
        <w:t>Auditoria (si se separa de Bitacora)</w:t>
      </w:r>
    </w:p>
    <w:p>
      <w:r>
        <w:t>Nota: este listado es conceptual. Durante la Fase 1 se definirá cada campo, tipo SQL Server, nulabilidad, PK, FK, restricciones, índices y reglas de negocio. Algunas tablas podrán fusionarse o dividirse si el modelo relacional lo justifica.</w:t>
      </w:r>
    </w:p>
    <w:p>
      <w:pPr>
        <w:pStyle w:val="Heading1"/>
      </w:pPr>
      <w:r>
        <w:t>10. Reglas de inventario y costeo</w:t>
      </w:r>
    </w:p>
    <w:p>
      <w:pPr>
        <w:pStyle w:val="Heading2"/>
      </w:pPr>
      <w:r>
        <w:t>10.1 Producto</w:t>
      </w:r>
    </w:p>
    <w:p>
      <w:pPr>
        <w:pStyle w:val="ListBullet"/>
      </w:pPr>
      <w:r>
        <w:t>SKU local único</w:t>
      </w:r>
    </w:p>
    <w:p>
      <w:pPr>
        <w:pStyle w:val="ListBullet"/>
      </w:pPr>
      <w:r>
        <w:t>Código de barras: admitir código existente del proveedor o generar uno interno único cuando sea necesario.</w:t>
      </w:r>
    </w:p>
    <w:p>
      <w:pPr>
        <w:pStyle w:val="ListBullet"/>
      </w:pPr>
      <w:r>
        <w:t>Categoría, marca y unidad de medida</w:t>
      </w:r>
    </w:p>
    <w:p>
      <w:pPr>
        <w:pStyle w:val="ListBullet"/>
      </w:pPr>
      <w:r>
        <w:t>Precio de venta</w:t>
      </w:r>
    </w:p>
    <w:p>
      <w:pPr>
        <w:pStyle w:val="ListBullet"/>
      </w:pPr>
      <w:r>
        <w:t>Costo de referencia</w:t>
      </w:r>
    </w:p>
    <w:p>
      <w:pPr>
        <w:pStyle w:val="ListBullet"/>
      </w:pPr>
      <w:r>
        <w:t>Stock mínimo/máximo</w:t>
      </w:r>
    </w:p>
    <w:p>
      <w:pPr>
        <w:pStyle w:val="ListBullet"/>
      </w:pPr>
      <w:r>
        <w:t>Controla lote</w:t>
      </w:r>
    </w:p>
    <w:p>
      <w:pPr>
        <w:pStyle w:val="ListBullet"/>
      </w:pPr>
      <w:r>
        <w:t>Controla vencimiento</w:t>
      </w:r>
    </w:p>
    <w:p>
      <w:pPr>
        <w:pStyle w:val="ListBullet"/>
      </w:pPr>
      <w:r>
        <w:t>Controla serie</w:t>
      </w:r>
    </w:p>
    <w:p>
      <w:pPr>
        <w:pStyle w:val="ListBullet"/>
      </w:pPr>
      <w:r>
        <w:t>Activo</w:t>
      </w:r>
    </w:p>
    <w:p>
      <w:pPr>
        <w:pStyle w:val="ListBullet"/>
      </w:pPr>
      <w:r>
        <w:t>Fecha de registro</w:t>
      </w:r>
    </w:p>
    <w:p>
      <w:pPr>
        <w:pStyle w:val="Heading2"/>
      </w:pPr>
      <w:r>
        <w:t>10.2 Trazabilidad</w:t>
      </w:r>
    </w:p>
    <w:p>
      <w:pPr>
        <w:pStyle w:val="ListBullet"/>
      </w:pPr>
      <w:r>
        <w:t>Compra</w:t>
      </w:r>
    </w:p>
    <w:p>
      <w:pPr>
        <w:pStyle w:val="ListBullet"/>
      </w:pPr>
      <w:r>
        <w:t>Venta</w:t>
      </w:r>
    </w:p>
    <w:p>
      <w:pPr>
        <w:pStyle w:val="ListBullet"/>
      </w:pPr>
      <w:r>
        <w:t>Ajuste</w:t>
      </w:r>
    </w:p>
    <w:p>
      <w:pPr>
        <w:pStyle w:val="ListBullet"/>
      </w:pPr>
      <w:r>
        <w:t>Devolución</w:t>
      </w:r>
    </w:p>
    <w:p>
      <w:pPr>
        <w:pStyle w:val="ListBullet"/>
      </w:pPr>
      <w:r>
        <w:t>Transferencia</w:t>
      </w:r>
    </w:p>
    <w:p>
      <w:pPr>
        <w:pStyle w:val="ListBullet"/>
      </w:pPr>
      <w:r>
        <w:t>Vencimiento</w:t>
      </w:r>
    </w:p>
    <w:p>
      <w:pPr>
        <w:pStyle w:val="ListBullet"/>
      </w:pPr>
      <w:r>
        <w:t>Daño</w:t>
      </w: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Regla de stock</w:t>
            </w:r>
            <w:r>
              <w:br/>
              <w:t>Nunca modificar existencias sin generar el movimiento de inventario correspondiente. La existencia es el estado actual; el movimiento explica cómo se llegó a ese estado.</w:t>
            </w:r>
          </w:p>
        </w:tc>
      </w:tr>
    </w:tbl>
    <w:p>
      <w:pPr>
        <w:spacing w:after="0"/>
      </w:pPr>
    </w:p>
    <w:p>
      <w:pPr>
        <w:pStyle w:val="Heading2"/>
      </w:pPr>
      <w:r>
        <w:t>10.3 Lotes y vencimientos</w:t>
      </w:r>
    </w:p>
    <w:p>
      <w:r>
        <w:t>Los productos odontológicos que lo requieran deberán rastrear número de lote, fecha de fabricación, fecha de vencimiento y costo unitario real. El sistema deberá alertar por próximos vencimientos y soportar estrategias de salida/promoción.</w:t>
      </w:r>
    </w:p>
    <w:p>
      <w:pPr>
        <w:pStyle w:val="Heading2"/>
      </w:pPr>
      <w:r>
        <w:t>10.4 Costo puesto en bodega</w:t>
      </w:r>
    </w:p>
    <w:p>
      <w:r>
        <w:t>La rentabilidad no se calculará únicamente con el precio de compra al proveedor. Se deberán poder distribuir los gastos de importación para obtener un costo real unitario.</w:t>
      </w:r>
    </w:p>
    <w:p>
      <w:pPr>
        <w:pStyle w:val="ListBullet"/>
      </w:pPr>
      <w:r>
        <w:t>Mercadería</w:t>
      </w:r>
    </w:p>
    <w:p>
      <w:pPr>
        <w:pStyle w:val="ListBullet"/>
      </w:pPr>
      <w:r>
        <w:t>DHL/flete</w:t>
      </w:r>
    </w:p>
    <w:p>
      <w:pPr>
        <w:pStyle w:val="ListBullet"/>
      </w:pPr>
      <w:r>
        <w:t>Aduana/aranceles/impuestos aplicables</w:t>
      </w:r>
    </w:p>
    <w:p>
      <w:pPr>
        <w:pStyle w:val="ListBullet"/>
      </w:pPr>
      <w:r>
        <w:t>Manejo</w:t>
      </w:r>
    </w:p>
    <w:p>
      <w:pPr>
        <w:pStyle w:val="ListBullet"/>
      </w:pPr>
      <w:r>
        <w:t>Otros gastos de importación</w:t>
      </w:r>
    </w:p>
    <w:p>
      <w:pPr>
        <w:pStyle w:val="Heading2"/>
      </w:pPr>
      <w:r>
        <w:t>10.5 Método de valuación y costo operativo</w:t>
      </w:r>
    </w:p>
    <w:p>
      <w:r>
        <w:t>GoDental utilizará promedio ponderado móvil como criterio operativo de valuación del inventario. Cada recepción actualizará el costo promedio considerando el costo puesto en bodega. Si posteriormente la asesoría contable requiere un tratamiento adicional, éste deberá implementarse sin perder la trazabilidad del costo real por compra/lote.</w:t>
      </w:r>
    </w:p>
    <w:p>
      <w:pPr>
        <w:pStyle w:val="ListBullet"/>
      </w:pPr>
      <w:r>
        <w:t>El costo de entrada debe considerar mercadería, flete/DHL, impuestos/aranceles aplicables, manejo y otros gastos asociados.</w:t>
      </w:r>
    </w:p>
    <w:p>
      <w:pPr>
        <w:pStyle w:val="ListBullet"/>
      </w:pPr>
      <w:r>
        <w:t>La utilidad y margen comercial se calcularán contra el costo operativo real, no únicamente contra el precio unitario del proveedor.</w:t>
      </w:r>
    </w:p>
    <w:p>
      <w:pPr>
        <w:pStyle w:val="ListBullet"/>
      </w:pPr>
      <w:r>
        <w:t>Los costos históricos de compras/recepciones no deben reescribirse al cambiar el costo promedio actual.</w:t>
      </w:r>
    </w:p>
    <w:p>
      <w:pPr>
        <w:pStyle w:val="Heading2"/>
      </w:pPr>
      <w:r>
        <w:t>10.6 Códigos de barras y etiquetas</w:t>
      </w:r>
    </w:p>
    <w:p>
      <w:r>
        <w:t>El sistema permitirá registrar códigos de barras existentes y generar códigos internos para productos que lo necesiten. La simbología, tamaño de etiqueta y formato de impresión se definirán en INV-01/UX-01. El código deberá ser único cuando se use como identificador operativo de escaneo.</w:t>
      </w:r>
    </w:p>
    <w:p>
      <w:pPr>
        <w:pStyle w:val="Heading1"/>
      </w:pPr>
      <w:r>
        <w:t>11. Compras, importaciones China/DHL</w:t>
      </w:r>
    </w:p>
    <w:p>
      <w:pPr>
        <w:pStyle w:val="ListBullet"/>
      </w:pPr>
      <w:r>
        <w:t>Proveedor</w:t>
      </w:r>
    </w:p>
    <w:p>
      <w:pPr>
        <w:pStyle w:val="ListBullet"/>
      </w:pPr>
      <w:r>
        <w:t>ProveedorContacto</w:t>
      </w:r>
    </w:p>
    <w:p>
      <w:pPr>
        <w:pStyle w:val="ListBullet"/>
      </w:pPr>
      <w:r>
        <w:t>ProveedorProducto (SKU del proveedor, costo, MOQ, lead time, último costo)</w:t>
      </w:r>
    </w:p>
    <w:p>
      <w:pPr>
        <w:pStyle w:val="ListBullet"/>
      </w:pPr>
      <w:r>
        <w:t>OrdenCompra / OrdenCompraDetalle</w:t>
      </w:r>
    </w:p>
    <w:p>
      <w:pPr>
        <w:pStyle w:val="ListBullet"/>
      </w:pPr>
      <w:r>
        <w:t>RecepcionCompra / Detalle</w:t>
      </w:r>
    </w:p>
    <w:p>
      <w:pPr>
        <w:pStyle w:val="ListBullet"/>
      </w:pPr>
      <w:r>
        <w:t>Importacion</w:t>
      </w:r>
    </w:p>
    <w:p>
      <w:pPr>
        <w:pStyle w:val="ListBullet"/>
      </w:pPr>
      <w:r>
        <w:t>EventoImportacion</w:t>
      </w:r>
    </w:p>
    <w:p>
      <w:pPr>
        <w:pStyle w:val="ListBullet"/>
      </w:pPr>
      <w:r>
        <w:t>GastoImportacion</w:t>
      </w:r>
    </w:p>
    <w:p>
      <w:pPr>
        <w:pStyle w:val="ListBullet"/>
      </w:pPr>
      <w:r>
        <w:t>DocumentoImportacion</w:t>
      </w:r>
    </w:p>
    <w:p>
      <w:pPr>
        <w:pStyle w:val="Heading2"/>
      </w:pPr>
      <w:r>
        <w:t>11.1 Estados sugeridos</w:t>
      </w:r>
    </w:p>
    <w:p>
      <w:pPr>
        <w:pStyle w:val="ListBullet"/>
      </w:pPr>
      <w:r>
        <w:t>Borrador</w:t>
      </w:r>
    </w:p>
    <w:p>
      <w:pPr>
        <w:pStyle w:val="ListBullet"/>
      </w:pPr>
      <w:r>
        <w:t>Enviada</w:t>
      </w:r>
    </w:p>
    <w:p>
      <w:pPr>
        <w:pStyle w:val="ListBullet"/>
      </w:pPr>
      <w:r>
        <w:t>Confirmada</w:t>
      </w:r>
    </w:p>
    <w:p>
      <w:pPr>
        <w:pStyle w:val="ListBullet"/>
      </w:pPr>
      <w:r>
        <w:t>EnProduccion</w:t>
      </w:r>
    </w:p>
    <w:p>
      <w:pPr>
        <w:pStyle w:val="ListBullet"/>
      </w:pPr>
      <w:r>
        <w:t>Despachada</w:t>
      </w:r>
    </w:p>
    <w:p>
      <w:pPr>
        <w:pStyle w:val="ListBullet"/>
      </w:pPr>
      <w:r>
        <w:t>EnTransito</w:t>
      </w:r>
    </w:p>
    <w:p>
      <w:pPr>
        <w:pStyle w:val="ListBullet"/>
      </w:pPr>
      <w:r>
        <w:t>Aduana</w:t>
      </w:r>
    </w:p>
    <w:p>
      <w:pPr>
        <w:pStyle w:val="ListBullet"/>
      </w:pPr>
      <w:r>
        <w:t>RecibidaParcial</w:t>
      </w:r>
    </w:p>
    <w:p>
      <w:pPr>
        <w:pStyle w:val="ListBullet"/>
      </w:pPr>
      <w:r>
        <w:t>Recibida</w:t>
      </w:r>
    </w:p>
    <w:p>
      <w:pPr>
        <w:pStyle w:val="ListBullet"/>
      </w:pPr>
      <w:r>
        <w:t>Cancelada</w:t>
      </w: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F3F5F7"/>
          </w:tcPr>
          <w:p>
            <w:r>
              <w:rPr>
                <w:b/>
                <w:sz w:val="21"/>
              </w:rPr>
              <w:t>Tracking DHL no obligatorio</w:t>
            </w:r>
            <w:r>
              <w:br/>
              <w:t>NumeroGuia será nullable. La importación se podrá seguir mediante eventos manuales aun cuando no exista o no funcione un tracking automático. Una futura integración DHL deberá implementarse detrás de una interfaz de tracking, sin acoplar el dominio.</w:t>
            </w:r>
          </w:p>
        </w:tc>
      </w:tr>
    </w:tbl>
    <w:p>
      <w:pPr>
        <w:spacing w:after="0"/>
      </w:pPr>
    </w:p>
    <w:p>
      <w:pPr>
        <w:pStyle w:val="Heading1"/>
      </w:pPr>
      <w:r>
        <w:t>12. Clientes, ventas, caja y crédito</w:t>
      </w:r>
    </w:p>
    <w:p>
      <w:pPr>
        <w:pStyle w:val="Heading2"/>
      </w:pPr>
      <w:r>
        <w:t>12.1 Clientes</w:t>
      </w:r>
    </w:p>
    <w:p>
      <w:r>
        <w:t>El cliente se modelará separando la organización/persona comercial de sus contactos y direcciones. Tipos previstos: clínica, odontólogo independiente, laboratorio dental, estudiante, universidad, distribuidor y consumidor final.</w:t>
      </w:r>
    </w:p>
    <w:p>
      <w:pPr>
        <w:pStyle w:val="ListBullet"/>
      </w:pPr>
      <w:r>
        <w:t>Nombre/Razón social</w:t>
      </w:r>
    </w:p>
    <w:p>
      <w:pPr>
        <w:pStyle w:val="ListBullet"/>
      </w:pPr>
      <w:r>
        <w:t>Nombre comercial</w:t>
      </w:r>
    </w:p>
    <w:p>
      <w:pPr>
        <w:pStyle w:val="ListBullet"/>
      </w:pPr>
      <w:r>
        <w:t>NIT</w:t>
      </w:r>
    </w:p>
    <w:p>
      <w:pPr>
        <w:pStyle w:val="ListBullet"/>
      </w:pPr>
      <w:r>
        <w:t>NRC</w:t>
      </w:r>
    </w:p>
    <w:p>
      <w:pPr>
        <w:pStyle w:val="ListBullet"/>
      </w:pPr>
      <w:r>
        <w:t>DUI cuando aplique</w:t>
      </w:r>
    </w:p>
    <w:p>
      <w:pPr>
        <w:pStyle w:val="ListBullet"/>
      </w:pPr>
      <w:r>
        <w:t>Giro</w:t>
      </w:r>
    </w:p>
    <w:p>
      <w:pPr>
        <w:pStyle w:val="ListBullet"/>
      </w:pPr>
      <w:r>
        <w:t>Teléfono</w:t>
      </w:r>
    </w:p>
    <w:p>
      <w:pPr>
        <w:pStyle w:val="ListBullet"/>
      </w:pPr>
      <w:r>
        <w:t>WhatsApp</w:t>
      </w:r>
    </w:p>
    <w:p>
      <w:pPr>
        <w:pStyle w:val="ListBullet"/>
      </w:pPr>
      <w:r>
        <w:t>Email</w:t>
      </w:r>
    </w:p>
    <w:p>
      <w:pPr>
        <w:pStyle w:val="ListBullet"/>
      </w:pPr>
      <w:r>
        <w:t>Departamento</w:t>
      </w:r>
    </w:p>
    <w:p>
      <w:pPr>
        <w:pStyle w:val="ListBullet"/>
      </w:pPr>
      <w:r>
        <w:t>Municipio</w:t>
      </w:r>
    </w:p>
    <w:p>
      <w:pPr>
        <w:pStyle w:val="ListBullet"/>
      </w:pPr>
      <w:r>
        <w:t>Dirección</w:t>
      </w:r>
    </w:p>
    <w:p>
      <w:pPr>
        <w:pStyle w:val="ListBullet"/>
      </w:pPr>
      <w:r>
        <w:t>Límite de crédito</w:t>
      </w:r>
    </w:p>
    <w:p>
      <w:pPr>
        <w:pStyle w:val="ListBullet"/>
      </w:pPr>
      <w:r>
        <w:t>Días de crédito</w:t>
      </w:r>
    </w:p>
    <w:p>
      <w:pPr>
        <w:pStyle w:val="ListBullet"/>
      </w:pPr>
      <w:r>
        <w:t>Activo</w:t>
      </w:r>
    </w:p>
    <w:p>
      <w:pPr>
        <w:pStyle w:val="Heading2"/>
      </w:pPr>
      <w:r>
        <w:t>12.2 Flujo de venta</w:t>
      </w:r>
    </w:p>
    <w:p>
      <w:pPr>
        <w:ind w:left="288" w:hanging="288"/>
      </w:pPr>
      <w:r>
        <w:t>1.  Crear venta</w:t>
      </w:r>
    </w:p>
    <w:p>
      <w:pPr>
        <w:ind w:left="288" w:hanging="288"/>
      </w:pPr>
      <w:r>
        <w:t>2.  Agregar detalles</w:t>
      </w:r>
    </w:p>
    <w:p>
      <w:pPr>
        <w:ind w:left="288" w:hanging="288"/>
      </w:pPr>
      <w:r>
        <w:t>3.  Validar stock</w:t>
      </w:r>
    </w:p>
    <w:p>
      <w:pPr>
        <w:ind w:left="288" w:hanging="288"/>
      </w:pPr>
      <w:r>
        <w:t>4.  Descontar stock</w:t>
      </w:r>
    </w:p>
    <w:p>
      <w:pPr>
        <w:ind w:left="288" w:hanging="288"/>
      </w:pPr>
      <w:r>
        <w:t>5.  Registrar movimientos de inventario</w:t>
      </w:r>
    </w:p>
    <w:p>
      <w:pPr>
        <w:ind w:left="288" w:hanging="288"/>
      </w:pPr>
      <w:r>
        <w:t>6.  Registrar pago o cuenta por cobrar</w:t>
      </w:r>
    </w:p>
    <w:p>
      <w:pPr>
        <w:ind w:left="288" w:hanging="288"/>
      </w:pPr>
      <w:r>
        <w:t>7.  Confirmar operación</w:t>
      </w: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Atomicidad de venta</w:t>
            </w:r>
            <w:r>
              <w:br/>
              <w:t>Los pasos que modifican datos permanentes se ejecutarán dentro de una transacción. Si cualquier paso falla, se revierte la operación completa.</w:t>
            </w:r>
          </w:p>
        </w:tc>
      </w:tr>
    </w:tbl>
    <w:p>
      <w:pPr>
        <w:spacing w:after="0"/>
      </w:pPr>
    </w:p>
    <w:p>
      <w:pPr>
        <w:pStyle w:val="Heading2"/>
      </w:pPr>
      <w:r>
        <w:t>12.3 Caja</w:t>
      </w:r>
    </w:p>
    <w:p>
      <w:r>
        <w:t>La operación inicial tendrá 1 almacén y 1 caja física/lógica, con 2 laptops ejecutando GoDental. La caja debe poder registrar operaciones de distintos usuarios conservando autoría por transacción. La asignación de caja/turno se dejará configurable para permitir crecimiento futuro a más cajas o estaciones.</w:t>
      </w:r>
    </w:p>
    <w:p>
      <w:pPr>
        <w:pStyle w:val="Heading2"/>
      </w:pPr>
      <w:r>
        <w:t>12.4 Crédito</w:t>
      </w:r>
    </w:p>
    <w:p>
      <w:pPr>
        <w:pStyle w:val="ListBullet"/>
      </w:pPr>
      <w:r>
        <w:t>Límite de crédito</w:t>
      </w:r>
    </w:p>
    <w:p>
      <w:pPr>
        <w:pStyle w:val="ListBullet"/>
      </w:pPr>
      <w:r>
        <w:t>Crédito disponible</w:t>
      </w:r>
    </w:p>
    <w:p>
      <w:pPr>
        <w:pStyle w:val="ListBullet"/>
      </w:pPr>
      <w:r>
        <w:t>Días/plazo</w:t>
      </w:r>
    </w:p>
    <w:p>
      <w:pPr>
        <w:pStyle w:val="ListBullet"/>
      </w:pPr>
      <w:r>
        <w:t>Fecha de vencimiento</w:t>
      </w:r>
    </w:p>
    <w:p>
      <w:pPr>
        <w:pStyle w:val="ListBullet"/>
      </w:pPr>
      <w:r>
        <w:t>Saldo</w:t>
      </w:r>
    </w:p>
    <w:p>
      <w:pPr>
        <w:pStyle w:val="ListBullet"/>
      </w:pPr>
      <w:r>
        <w:t>Abonos</w:t>
      </w:r>
    </w:p>
    <w:p>
      <w:pPr>
        <w:pStyle w:val="ListBullet"/>
      </w:pPr>
      <w:r>
        <w:t>Estado de morosidad</w:t>
      </w:r>
    </w:p>
    <w:p>
      <w:pPr>
        <w:pStyle w:val="ListBullet"/>
      </w:pPr>
      <w:r>
        <w:t>Historial</w:t>
      </w:r>
    </w:p>
    <w:p>
      <w:pPr>
        <w:pStyle w:val="ListBullet"/>
      </w:pPr>
      <w:r>
        <w:t>Bloqueo automático opcional</w:t>
      </w:r>
    </w:p>
    <w:p>
      <w:pPr>
        <w:pStyle w:val="Heading2"/>
      </w:pPr>
      <w:r>
        <w:t>12.5 Formas de pago</w:t>
      </w:r>
    </w:p>
    <w:p>
      <w:r>
        <w:t>Formas iniciales: efectivo, transferencia bancaria, pago por QR, depósito bancario, tarjeta, crédito y pagos mixtos. Una venta podrá dividirse entre varias formas de pago. La integración directa con terminal/procesador de tarjeta queda como integración futura; desde la primera versión debe existir la forma de pago Tarjeta para registrar la operación.</w:t>
      </w:r>
    </w:p>
    <w:p>
      <w:pPr>
        <w:pStyle w:val="ListBullet"/>
      </w:pPr>
      <w:r>
        <w:t>Los métodos de pago serán catálogo/configuración y no valores rígidos en la UI.</w:t>
      </w:r>
    </w:p>
    <w:p>
      <w:pPr>
        <w:pStyle w:val="ListBullet"/>
      </w:pPr>
      <w:r>
        <w:t>Los pagos mixtos deben conservar monto por cada forma de pago y validar que la suma cubra el total correspondiente.</w:t>
      </w:r>
    </w:p>
    <w:p>
      <w:pPr>
        <w:pStyle w:val="ListBullet"/>
      </w:pPr>
      <w:r>
        <w:t>Transferencia, QR y depósito podrán registrar referencia/comprobante cuando aplique.</w:t>
      </w:r>
    </w:p>
    <w:p>
      <w:pPr>
        <w:pStyle w:val="Heading2"/>
      </w:pPr>
      <w:r>
        <w:t>12.6 Descuentos y autorizaciones</w:t>
      </w:r>
    </w:p>
    <w:p>
      <w:r>
        <w:t>El vendedor podrá aplicar descuentos de hasta 7% sin autorización especial. Los descuentos podrán aplicarse por línea de producto y/o sobre la venta completa. Para impedir eludir los límites, se evaluará también el descuento efectivo total resultante de combinar descuentos de línea y generales.</w:t>
      </w:r>
    </w:p>
    <w:p>
      <w:pPr>
        <w:pStyle w:val="ListBullet"/>
      </w:pPr>
      <w:r>
        <w:t>0%–7%: permitido al vendedor según sus permisos.</w:t>
      </w:r>
    </w:p>
    <w:p>
      <w:pPr>
        <w:pStyle w:val="ListBullet"/>
      </w:pPr>
      <w:r>
        <w:t>Más de 7% y hasta 35%: requiere motivo/justificación obligatoria y registro en bitácora.</w:t>
      </w:r>
    </w:p>
    <w:p>
      <w:pPr>
        <w:pStyle w:val="ListBullet"/>
      </w:pPr>
      <w:r>
        <w:t>Más de 35%: requiere autorización mediante credenciales del Administrador y debe registrar qué administrador autorizó, motivo, fecha y usuario solicitante.</w:t>
      </w:r>
    </w:p>
    <w:p>
      <w:pPr>
        <w:pStyle w:val="ListBullet"/>
      </w:pPr>
      <w:r>
        <w:t>Las contraseñas nunca se almacenan ni registran en la bitácora; sólo se valida la identidad/autorización.</w:t>
      </w:r>
    </w:p>
    <w:p>
      <w:pPr>
        <w:pStyle w:val="Heading2"/>
      </w:pPr>
      <w:r>
        <w:t>12.7 Devoluciones y cambios</w:t>
      </w:r>
    </w:p>
    <w:p>
      <w:r>
        <w:t>La devolución podrá solicitarse como máximo hasta 1 día después de la compra y requiere factura/comprobante o constancia verificable de que el producto fue adquirido en el negocio. Únicamente un Administrador podrá autorizarla.</w:t>
      </w:r>
    </w:p>
    <w:p>
      <w:pPr>
        <w:pStyle w:val="ListBullet"/>
      </w:pPr>
      <w:r>
        <w:t>Se admiten productos abiertos cuando exista una justificación del defecto/falla y evidencia fotográfica.</w:t>
      </w:r>
    </w:p>
    <w:p>
      <w:pPr>
        <w:pStyle w:val="ListBullet"/>
      </w:pPr>
      <w:r>
        <w:t>La resolución podrá ser devolución en efectivo o crédito/saldo a favor del cliente, según decisión autorizada.</w:t>
      </w:r>
    </w:p>
    <w:p>
      <w:pPr>
        <w:pStyle w:val="ListBullet"/>
      </w:pPr>
      <w:r>
        <w:t>Producto devuelto en condición vendible: puede reingresar a existencia mediante movimiento de devolución.</w:t>
      </w:r>
    </w:p>
    <w:p>
      <w:pPr>
        <w:pStyle w:val="ListBullet"/>
      </w:pPr>
      <w:r>
        <w:t>Producto dañado, defectuoso, contaminado o no vendible: no vuelve al stock disponible; debe quedar identificado como no disponible/cuarentena/daño según el flujo definido en INV-01.</w:t>
      </w:r>
    </w:p>
    <w:p>
      <w:pPr>
        <w:pStyle w:val="ListBullet"/>
      </w:pPr>
      <w:r>
        <w:t>Toda devolución debe enlazarse a la venta original, registrar motivo, evidencia, usuario solicitante y administrador autorizante.</w:t>
      </w:r>
    </w:p>
    <w:p>
      <w:pPr>
        <w:pStyle w:val="Heading2"/>
      </w:pPr>
      <w:r>
        <w:t>12.8 Listas de precios y reglas comerciales</w:t>
      </w:r>
    </w:p>
    <w:p>
      <w:r>
        <w:t>GoDental soportará múltiples listas/reglas de precio configurables. Como mínimo se prevén precio público/normal, mayorista, clínicas, odontólogos, estudiantes y promocional. Debe ser posible agregar nuevas listas sin modificar código estructural.</w:t>
      </w:r>
    </w:p>
    <w:p>
      <w:pPr>
        <w:pStyle w:val="ListBullet"/>
      </w:pPr>
      <w:r>
        <w:t>El tipo de cliente puede determinar una lista/precio aplicable.</w:t>
      </w:r>
    </w:p>
    <w:p>
      <w:pPr>
        <w:pStyle w:val="ListBullet"/>
      </w:pPr>
      <w:r>
        <w:t>La cantidad comprada puede activar precio por volumen/mayoreo.</w:t>
      </w:r>
    </w:p>
    <w:p>
      <w:pPr>
        <w:pStyle w:val="ListBullet"/>
      </w:pPr>
      <w:r>
        <w:t>El monto de venta podrá intervenir en reglas comerciales cuando el total supere $50.00; este umbral debe quedar configurable.</w:t>
      </w:r>
    </w:p>
    <w:p>
      <w:pPr>
        <w:pStyle w:val="ListBullet"/>
      </w:pPr>
      <w:r>
        <w:t>Las promociones tendrán vigencia y reglas propias; la prioridad exacta entre promociones, listas y descuentos se documentará en VEN-01.</w:t>
      </w:r>
    </w:p>
    <w:p>
      <w:pPr>
        <w:pStyle w:val="Heading2"/>
      </w:pPr>
      <w:r>
        <w:t>12.9 Crédito y cuentas por cobrar</w:t>
      </w:r>
    </w:p>
    <w:p>
      <w:r>
        <w:t>Podrán recibir crédito las clínicas, odontólogos y clientes mayoristas. La habilitación de crédito, límite monetario y condiciones serán editables por cliente desde una función administrativa. El plazo máximo inicial será de 15 días.</w:t>
      </w:r>
    </w:p>
    <w:p>
      <w:pPr>
        <w:pStyle w:val="ListBullet"/>
      </w:pPr>
      <w:r>
        <w:t>El límite de crédito no se hardcodeará: podrá ajustarse conforme evolucione la operación.</w:t>
      </w:r>
    </w:p>
    <w:p>
      <w:pPr>
        <w:pStyle w:val="ListBullet"/>
      </w:pPr>
      <w:r>
        <w:t>El sistema emitirá avisos/recordatorios de saldo pendiente cada 5 días dentro del flujo de seguimiento.</w:t>
      </w:r>
    </w:p>
    <w:p>
      <w:pPr>
        <w:pStyle w:val="ListBullet"/>
      </w:pPr>
      <w:r>
        <w:t>Se permitirán abonos parciales y múltiples documentos pendientes dentro del límite autorizado.</w:t>
      </w:r>
    </w:p>
    <w:p>
      <w:pPr>
        <w:pStyle w:val="ListBullet"/>
      </w:pPr>
      <w:r>
        <w:t>La regla exacta de bloqueo por mora y las excepciones administrativas quedarán configurables y se cerrarán en VEN-01 antes de implementar crédito en producción.</w:t>
      </w:r>
    </w:p>
    <w:p>
      <w:pPr>
        <w:pStyle w:val="Heading2"/>
      </w:pPr>
      <w:r>
        <w:t>12.10 Documentos de venta, impresión y comprobantes</w:t>
      </w:r>
    </w:p>
    <w:p>
      <w:r>
        <w:t>El usuario podrá seleccionar el formato operativo aplicable: ticket pequeño tipo POS o documento tamaño carta. También se generarán recibos de pago, estados de cuenta y órdenes de compra cuando corresponda. Mientras no exista integración DTE, los documentos internos deben diferenciarse de un DTE fiscal autorizado.</w:t>
      </w:r>
    </w:p>
    <w:p>
      <w:pPr>
        <w:pStyle w:val="ListBullet"/>
      </w:pPr>
      <w:r>
        <w:t>Impresión inicial: impresora convencional en papel tamaño carta.</w:t>
      </w:r>
    </w:p>
    <w:p>
      <w:pPr>
        <w:pStyle w:val="ListBullet"/>
      </w:pPr>
      <w:r>
        <w:t>El tamaño/plantilla deberá ser configurable para evolucionar posteriormente a formato de factura/ticket térmico sin rehacer la lógica.</w:t>
      </w:r>
    </w:p>
    <w:p>
      <w:pPr>
        <w:pStyle w:val="ListBullet"/>
      </w:pPr>
      <w:r>
        <w:t>Los documentos incluirán logo y condiciones comerciales cuando corresponda.</w:t>
      </w:r>
    </w:p>
    <w:p>
      <w:pPr>
        <w:pStyle w:val="ListBullet"/>
      </w:pPr>
      <w:r>
        <w:t>QuestPDF será la base para PDF/impresión de documentos no fiscales y representaciones permitidas.</w:t>
      </w:r>
    </w:p>
    <w:p>
      <w:pPr>
        <w:pStyle w:val="Heading1"/>
      </w:pPr>
      <w:r>
        <w:t>13. Fiscal / DTE preparado para El Salvador</w:t>
      </w:r>
    </w:p>
    <w:p>
      <w:r>
        <w:t>La aplicación debe dejar una capa fiscal preparada para Documentos Tributarios Electrónicos (DTE) y Crédito Fiscal, pero la integración real se implementará cuando se disponga de la información fiscal, credenciales y especificaciones vigentes requeridas.</w:t>
      </w: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Separación fiscal</w:t>
            </w:r>
            <w:r>
              <w:br/>
              <w:t>Venta != DTE. La venta debe poder existir y operar internamente sin que el modelo de negocio dependa de la estructura externa del documento fiscal.</w:t>
            </w:r>
          </w:p>
        </w:tc>
      </w:tr>
    </w:tbl>
    <w:p>
      <w:pPr>
        <w:spacing w:after="0"/>
      </w:pPr>
    </w:p>
    <w:p>
      <w:pPr>
        <w:pStyle w:val="ListBullet"/>
      </w:pPr>
      <w:r>
        <w:t>DocumentoFiscal</w:t>
      </w:r>
    </w:p>
    <w:p>
      <w:pPr>
        <w:pStyle w:val="ListBullet"/>
      </w:pPr>
      <w:r>
        <w:t>TipoDocumentoFiscal</w:t>
      </w:r>
    </w:p>
    <w:p>
      <w:pPr>
        <w:pStyle w:val="ListBullet"/>
      </w:pPr>
      <w:r>
        <w:t>DocumentoDte</w:t>
      </w:r>
    </w:p>
    <w:p>
      <w:pPr>
        <w:pStyle w:val="ListBullet"/>
      </w:pPr>
      <w:r>
        <w:t>DteEvento</w:t>
      </w:r>
    </w:p>
    <w:p>
      <w:pPr>
        <w:pStyle w:val="ListBullet"/>
      </w:pPr>
      <w:r>
        <w:t>ConfiguracionFiscal</w:t>
      </w:r>
    </w:p>
    <w:p>
      <w:r>
        <w:t>Campos futuros posibles de DocumentoDte: TipoDte, CodigoGeneracion, NumeroControl, FechaHoraGeneracion, SelloRecepcion, Estado, JsonGenerado, JsonRespuesta y Observaciones.</w:t>
      </w:r>
    </w:p>
    <w:p>
      <w:pPr>
        <w:pStyle w:val="Heading1"/>
      </w:pPr>
      <w:r>
        <w:t>14. Inteligencia comercial y Dashboard</w:t>
      </w:r>
    </w:p>
    <w:p>
      <w:r>
        <w:t>El Dashboard debe explicar qué hacer, no limitarse a mostrar números.</w:t>
      </w:r>
    </w:p>
    <w:p>
      <w:pPr>
        <w:pStyle w:val="ListBullet"/>
      </w:pPr>
      <w:r>
        <w:t>Alta velocidad de venta + stock bajo → recomendar reposición.</w:t>
      </w:r>
    </w:p>
    <w:p>
      <w:pPr>
        <w:pStyle w:val="ListBullet"/>
      </w:pPr>
      <w:r>
        <w:t>Baja rotación + stock alto → recomendar promoción.</w:t>
      </w:r>
    </w:p>
    <w:p>
      <w:pPr>
        <w:pStyle w:val="ListBullet"/>
      </w:pPr>
      <w:r>
        <w:t>Próximo a vencer → recomendar salida/bonificación/paquete.</w:t>
      </w:r>
    </w:p>
    <w:p>
      <w:pPr>
        <w:pStyle w:val="ListBullet"/>
      </w:pPr>
      <w:r>
        <w:t>Productos comprados juntos → sugerir combo.</w:t>
      </w:r>
    </w:p>
    <w:p>
      <w:pPr>
        <w:pStyle w:val="ListBullet"/>
      </w:pPr>
      <w:r>
        <w:t>Cliente con ciclo de recompra vencido → sugerir reactivación.</w:t>
      </w:r>
    </w:p>
    <w:p>
      <w:pPr>
        <w:pStyle w:val="ListBullet"/>
      </w:pPr>
      <w:r>
        <w:t>Alto margen + buena aceptación → priorizar publicidad.</w:t>
      </w:r>
    </w:p>
    <w:p>
      <w:pPr>
        <w:pStyle w:val="ListBullet"/>
      </w:pPr>
      <w:r>
        <w:t>Alto volumen + margen pobre → revisar precio, costo o proveedor.</w:t>
      </w:r>
    </w:p>
    <w:p>
      <w:pPr>
        <w:pStyle w:val="Heading2"/>
      </w:pPr>
      <w:r>
        <w:t>14.1 Indicadores/reportes prioritarios</w:t>
      </w:r>
    </w:p>
    <w:p>
      <w:pPr>
        <w:pStyle w:val="ListBullet"/>
      </w:pPr>
      <w:r>
        <w:t>Ventas por período/producto/categoría/cliente</w:t>
      </w:r>
    </w:p>
    <w:p>
      <w:pPr>
        <w:pStyle w:val="ListBullet"/>
      </w:pPr>
      <w:r>
        <w:t>Margen y utilidad</w:t>
      </w:r>
    </w:p>
    <w:p>
      <w:pPr>
        <w:pStyle w:val="ListBullet"/>
      </w:pPr>
      <w:r>
        <w:t>Productos más vendidos y más rentables</w:t>
      </w:r>
    </w:p>
    <w:p>
      <w:pPr>
        <w:pStyle w:val="ListBullet"/>
      </w:pPr>
      <w:r>
        <w:t>Inventario actual y valorizado</w:t>
      </w:r>
    </w:p>
    <w:p>
      <w:pPr>
        <w:pStyle w:val="ListBullet"/>
      </w:pPr>
      <w:r>
        <w:t>Bajo stock</w:t>
      </w:r>
    </w:p>
    <w:p>
      <w:pPr>
        <w:pStyle w:val="ListBullet"/>
      </w:pPr>
      <w:r>
        <w:t>Próximos a vencer / vencidos</w:t>
      </w:r>
    </w:p>
    <w:p>
      <w:pPr>
        <w:pStyle w:val="ListBullet"/>
      </w:pPr>
      <w:r>
        <w:t>Baja rotación y rotación de inventario</w:t>
      </w:r>
    </w:p>
    <w:p>
      <w:pPr>
        <w:pStyle w:val="ListBullet"/>
      </w:pPr>
      <w:r>
        <w:t>Compras por proveedor</w:t>
      </w:r>
    </w:p>
    <w:p>
      <w:pPr>
        <w:pStyle w:val="ListBullet"/>
      </w:pPr>
      <w:r>
        <w:t>Costo de importaciones</w:t>
      </w:r>
    </w:p>
    <w:p>
      <w:pPr>
        <w:pStyle w:val="ListBullet"/>
      </w:pPr>
      <w:r>
        <w:t>Cuentas por cobrar y créditos vencidos</w:t>
      </w:r>
    </w:p>
    <w:p>
      <w:pPr>
        <w:pStyle w:val="ListBullet"/>
      </w:pPr>
      <w:r>
        <w:t>Flujo de cobros</w:t>
      </w:r>
    </w:p>
    <w:p>
      <w:pPr>
        <w:pStyle w:val="ListBullet"/>
      </w:pPr>
      <w:r>
        <w:t>Efectividad de promociones/campañas</w:t>
      </w:r>
    </w:p>
    <w:p>
      <w:pPr>
        <w:pStyle w:val="ListBullet"/>
      </w:pPr>
      <w:r>
        <w:t>Nuevos clientes adquiridos</w:t>
      </w:r>
    </w:p>
    <w:p>
      <w:pPr>
        <w:pStyle w:val="Heading1"/>
      </w:pPr>
      <w:r>
        <w:t>15. Módulo Online / prospección futura</w:t>
      </w:r>
    </w:p>
    <w:p>
      <w:r>
        <w:t>Será un módulo separado del núcleo ERP. Su objetivo será descubrir prospectos comerciales en nuevas zonas de El Salvador a partir de información empresarial pública y ayudar a preparar campañas con revisión humana.</w:t>
      </w:r>
    </w:p>
    <w:p>
      <w:pPr>
        <w:pStyle w:val="ListBullet"/>
      </w:pPr>
      <w:r>
        <w:t>Prospecto</w:t>
      </w:r>
    </w:p>
    <w:p>
      <w:pPr>
        <w:pStyle w:val="ListBullet"/>
      </w:pPr>
      <w:r>
        <w:t>ZonaProspeccion</w:t>
      </w:r>
    </w:p>
    <w:p>
      <w:pPr>
        <w:pStyle w:val="ListBullet"/>
      </w:pPr>
      <w:r>
        <w:t>EjecucionProspeccion</w:t>
      </w:r>
    </w:p>
    <w:p>
      <w:pPr>
        <w:pStyle w:val="ListBullet"/>
      </w:pPr>
      <w:r>
        <w:t>FuenteProspecto</w:t>
      </w:r>
    </w:p>
    <w:p>
      <w:pPr>
        <w:pStyle w:val="ListBullet"/>
      </w:pPr>
      <w:r>
        <w:t>Campania</w:t>
      </w:r>
    </w:p>
    <w:p>
      <w:pPr>
        <w:pStyle w:val="ListBullet"/>
      </w:pPr>
      <w:r>
        <w:t>CampaniaDestinatario</w:t>
      </w:r>
    </w:p>
    <w:p>
      <w:pPr>
        <w:pStyle w:val="ListBullet"/>
      </w:pPr>
      <w:r>
        <w:t>PlantillaMensaje</w:t>
      </w:r>
    </w:p>
    <w:p>
      <w:pPr>
        <w:pStyle w:val="ListBullet"/>
      </w:pPr>
      <w:r>
        <w:t>ComunicacionComercial</w:t>
      </w:r>
    </w:p>
    <w:p>
      <w:pPr>
        <w:pStyle w:val="ListBullet"/>
      </w:pPr>
      <w:r>
        <w:t>ListaNoContactar</w:t>
      </w:r>
    </w:p>
    <w:p>
      <w:pPr>
        <w:pStyle w:val="Heading2"/>
      </w:pPr>
      <w:r>
        <w:t>15.1 Flujo previsto</w:t>
      </w:r>
    </w:p>
    <w:p>
      <w:pPr>
        <w:ind w:left="288" w:hanging="288"/>
      </w:pPr>
      <w:r>
        <w:t>1.  Seleccionar próxima zona/municipio/departamento</w:t>
      </w:r>
    </w:p>
    <w:p>
      <w:pPr>
        <w:ind w:left="288" w:hanging="288"/>
      </w:pPr>
      <w:r>
        <w:t>2.  Consultar fuentes públicas autorizadas</w:t>
      </w:r>
    </w:p>
    <w:p>
      <w:pPr>
        <w:ind w:left="288" w:hanging="288"/>
      </w:pPr>
      <w:r>
        <w:t>3.  Guardar contacto empresarial público, fuente y fecha</w:t>
      </w:r>
    </w:p>
    <w:p>
      <w:pPr>
        <w:ind w:left="288" w:hanging="288"/>
      </w:pPr>
      <w:r>
        <w:t>4.  Deduplicar contra clientes y prospectos</w:t>
      </w:r>
    </w:p>
    <w:p>
      <w:pPr>
        <w:ind w:left="288" w:hanging="288"/>
      </w:pPr>
      <w:r>
        <w:t>5.  Clasificar/priorizar</w:t>
      </w:r>
    </w:p>
    <w:p>
      <w:pPr>
        <w:ind w:left="288" w:hanging="288"/>
      </w:pPr>
      <w:r>
        <w:t>6.  Proponer oferta o campaña</w:t>
      </w:r>
    </w:p>
    <w:p>
      <w:pPr>
        <w:ind w:left="288" w:hanging="288"/>
      </w:pPr>
      <w:r>
        <w:t>7.  Revisión humana</w:t>
      </w:r>
    </w:p>
    <w:p>
      <w:pPr>
        <w:ind w:left="288" w:hanging="288"/>
      </w:pPr>
      <w:r>
        <w:t>8.  Enviar únicamente por canales autorizados respetando exclusiones</w:t>
      </w: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E9EFF7"/>
          </w:tcPr>
          <w:p>
            <w:r>
              <w:rPr>
                <w:b/>
                <w:sz w:val="21"/>
              </w:rPr>
              <w:t>Cumplimiento comercial</w:t>
            </w:r>
            <w:r>
              <w:br/>
              <w:t>No diseñar envío masivo ciego ni spam autónomo. Registrar fuente del contacto, fecha de obtención, consentimiento cuando corresponda, exclusiones y solicitudes de no contacto. Preferir datos públicos del negocio frente a información personal del profesional.</w:t>
            </w:r>
          </w:p>
        </w:tc>
      </w:tr>
    </w:tbl>
    <w:p>
      <w:pPr>
        <w:spacing w:after="0"/>
      </w:pPr>
    </w:p>
    <w:p>
      <w:pPr>
        <w:pStyle w:val="Heading2"/>
      </w:pPr>
      <w:r>
        <w:t>15.2 Canales y conversión de prospectos</w:t>
      </w:r>
    </w:p>
    <w:p>
      <w:r>
        <w:t>Canales previstos: WhatsApp Business, Instagram y Facebook. GoDental podrá descubrir prospectos, preparar mensajes y proponer campañas, pero el envío requerirá autorización humana y deberá usar proveedores/canales oficiales o autorizados.</w:t>
      </w:r>
    </w:p>
    <w:p>
      <w:pPr>
        <w:pStyle w:val="ListBullet"/>
      </w:pPr>
      <w:r>
        <w:t>Registrar si el prospecto respondió y el resultado de la interacción.</w:t>
      </w:r>
    </w:p>
    <w:p>
      <w:pPr>
        <w:pStyle w:val="ListBullet"/>
      </w:pPr>
      <w:r>
        <w:t>Cuando exista una compra confirmada, permitir convertir el prospecto en Cliente preservando la trazabilidad del origen.</w:t>
      </w:r>
    </w:p>
    <w:p>
      <w:pPr>
        <w:pStyle w:val="ListBullet"/>
      </w:pPr>
      <w:r>
        <w:t>No duplicar clientes ya existentes; deduplicar por datos disponibles antes de convertir.</w:t>
      </w:r>
    </w:p>
    <w:p>
      <w:pPr>
        <w:pStyle w:val="ListBullet"/>
      </w:pPr>
      <w:r>
        <w:t>Mantener opt-out/lista no contactar y fuente pública del contacto.</w:t>
      </w:r>
    </w:p>
    <w:p>
      <w:pPr>
        <w:pStyle w:val="Heading1"/>
      </w:pPr>
      <w:r>
        <w:t>16. UI/UX</w:t>
      </w:r>
    </w:p>
    <w:p>
      <w:r>
        <w:t>La interfaz debe diferenciarse visualmente de ClinicaDentalMario. Mantendrá una estética minimalista, moderna y profesional, con temas claro y oscuro.</w:t>
      </w:r>
    </w:p>
    <w:p>
      <w:pPr>
        <w:pStyle w:val="ListBullet"/>
      </w:pPr>
      <w:r>
        <w:t>Sidebar colapsable</w:t>
      </w:r>
    </w:p>
    <w:p>
      <w:pPr>
        <w:pStyle w:val="ListBullet"/>
      </w:pPr>
      <w:r>
        <w:t>Búsqueda global</w:t>
      </w:r>
    </w:p>
    <w:p>
      <w:pPr>
        <w:pStyle w:val="ListBullet"/>
      </w:pPr>
      <w:r>
        <w:t>Tarjetas e indicadores sobrios</w:t>
      </w:r>
    </w:p>
    <w:p>
      <w:pPr>
        <w:pStyle w:val="ListBullet"/>
      </w:pPr>
      <w:r>
        <w:t>Tablas modernas, densidad razonable y filtros claros</w:t>
      </w:r>
    </w:p>
    <w:p>
      <w:pPr>
        <w:pStyle w:val="ListBullet"/>
      </w:pPr>
      <w:r>
        <w:t>Menos ventanas modales; preferir navegación integrada cuando sea viable</w:t>
      </w:r>
    </w:p>
    <w:p>
      <w:pPr>
        <w:pStyle w:val="ListBullet"/>
      </w:pPr>
      <w:r>
        <w:t>Estados visuales consistentes</w:t>
      </w:r>
    </w:p>
    <w:p>
      <w:pPr>
        <w:pStyle w:val="ListBullet"/>
      </w:pPr>
      <w:r>
        <w:t>Diseño responsive dentro de las limitaciones de escritorio</w:t>
      </w:r>
    </w:p>
    <w:p>
      <w:pPr>
        <w:pStyle w:val="ListBullet"/>
      </w:pPr>
      <w:r>
        <w:t>Atajos de teclado útiles en ventas</w:t>
      </w:r>
    </w:p>
    <w:p>
      <w:pPr>
        <w:pStyle w:val="ListBullet"/>
      </w:pPr>
      <w:r>
        <w:t>Compatibilidad con lector de código de barras como entrada de teclado cuando se implemente</w:t>
      </w:r>
    </w:p>
    <w:p>
      <w:pPr>
        <w:pStyle w:val="ListBullet"/>
      </w:pPr>
      <w:r>
        <w:t>LightTheme.xaml y DarkTheme.xaml centralizados</w:t>
      </w:r>
    </w:p>
    <w:p>
      <w:pPr>
        <w:pStyle w:val="ListBullet"/>
      </w:pPr>
      <w:r>
        <w:t>Controls.xaml y Typography.xaml</w:t>
      </w:r>
    </w:p>
    <w:p>
      <w:pPr>
        <w:pStyle w:val="ListBullet"/>
      </w:pPr>
      <w:r>
        <w:t>ThemeService</w:t>
      </w:r>
    </w:p>
    <w:p>
      <w:pPr>
        <w:pStyle w:val="ListBullet"/>
      </w:pPr>
      <w:r>
        <w:t>Preferencias de interfaz por usuario</w:t>
      </w: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F3F5F7"/>
          </w:tcPr>
          <w:p>
            <w:r>
              <w:rPr>
                <w:b/>
                <w:sz w:val="21"/>
              </w:rPr>
              <w:t>Regla de estilos</w:t>
            </w:r>
            <w:r>
              <w:br/>
              <w:t>No colocar colores y estilos repetidos manualmente en cada View. Temas, tipografía y controles deben centralizar recursos reutilizables.</w:t>
            </w:r>
          </w:p>
        </w:tc>
      </w:tr>
    </w:tbl>
    <w:p>
      <w:pPr>
        <w:spacing w:after="0"/>
      </w:pPr>
    </w:p>
    <w:p>
      <w:pPr>
        <w:pStyle w:val="Heading2"/>
      </w:pPr>
      <w:r>
        <w:t>16.1 Identidad visual GoDental</w:t>
      </w:r>
    </w:p>
    <w:p>
      <w:r>
        <w:t>El nombre comercial del software es GoDental. El logo actual se conservará como referencia y podrá recrearse/refinarse más adelante sin afectar la arquitectura. La identidad visual deberá ser moderna, minimalista y claramente distinta de ClinicaDentalMario.</w:t>
      </w:r>
    </w:p>
    <w:p>
      <w:pPr>
        <w:pStyle w:val="ListBullet"/>
      </w:pPr>
      <w:r>
        <w:t>Paleta base: celeste, azul y verde, con variantes accesibles para tema claro y oscuro.</w:t>
      </w:r>
    </w:p>
    <w:p>
      <w:pPr>
        <w:pStyle w:val="ListBullet"/>
      </w:pPr>
      <w:r>
        <w:t>Evitar saturación de color; usar acentos para estados, acciones y métricas importantes.</w:t>
      </w:r>
    </w:p>
    <w:p>
      <w:pPr>
        <w:pStyle w:val="ListBullet"/>
      </w:pPr>
      <w:r>
        <w:t>Light/Dark deben compartir componentes y tokens de diseño, no duplicar estilos manualmente.</w:t>
      </w:r>
    </w:p>
    <w:p>
      <w:pPr>
        <w:pStyle w:val="Heading1"/>
      </w:pPr>
      <w:r>
        <w:t>17. Seguridad, auditoría y trazabilidad</w:t>
      </w:r>
    </w:p>
    <w:p>
      <w:pPr>
        <w:pStyle w:val="ListBullet"/>
      </w:pPr>
      <w:r>
        <w:t>Contraseñas almacenadas de forma segura; nunca texto plano.</w:t>
      </w:r>
    </w:p>
    <w:p>
      <w:pPr>
        <w:pStyle w:val="ListBullet"/>
      </w:pPr>
      <w:r>
        <w:t>Principio de mínimo privilegio.</w:t>
      </w:r>
    </w:p>
    <w:p>
      <w:pPr>
        <w:pStyle w:val="ListBullet"/>
      </w:pPr>
      <w:r>
        <w:t>Sesión asociada al Usuario e idealmente a la estación de trabajo.</w:t>
      </w:r>
    </w:p>
    <w:p>
      <w:pPr>
        <w:pStyle w:val="ListBullet"/>
      </w:pPr>
      <w:r>
        <w:t>Registro de creación/modificación/anulación en operaciones sensibles.</w:t>
      </w:r>
    </w:p>
    <w:p>
      <w:pPr>
        <w:pStyle w:val="ListBullet"/>
      </w:pPr>
      <w:r>
        <w:t>No eliminar físicamente movimientos financieros o de inventario confirmados salvo estrategia explícita; preferir anulación/estado cuando corresponda.</w:t>
      </w:r>
    </w:p>
    <w:p>
      <w:pPr>
        <w:pStyle w:val="ListBullet"/>
      </w:pPr>
      <w:r>
        <w:t>Logs técnicos separados de la bitácora funcional.</w:t>
      </w:r>
    </w:p>
    <w:p>
      <w:pPr>
        <w:pStyle w:val="ListBullet"/>
      </w:pPr>
      <w:r>
        <w:t>Respaldo periódico de SQL Server y procedimiento de restauración documentado antes de producción.</w:t>
      </w:r>
    </w:p>
    <w:p>
      <w:pPr>
        <w:pStyle w:val="Heading1"/>
      </w:pPr>
      <w:r>
        <w:t>18. Reglas de código, Git y base de datos</w:t>
      </w:r>
    </w:p>
    <w:p>
      <w:pPr>
        <w:pStyle w:val="Heading2"/>
      </w:pPr>
      <w:r>
        <w:t>18.1 Código C#</w:t>
      </w:r>
    </w:p>
    <w:p>
      <w:pPr>
        <w:pStyle w:val="ListBullet"/>
      </w:pPr>
      <w:r>
        <w:t>Clases con una responsabilidad clara.</w:t>
      </w:r>
    </w:p>
    <w:p>
      <w:pPr>
        <w:pStyle w:val="ListBullet"/>
      </w:pPr>
      <w:r>
        <w:t>Interfaces para repositorios/servicios externos donde aporten desacoplamiento.</w:t>
      </w:r>
    </w:p>
    <w:p>
      <w:pPr>
        <w:pStyle w:val="ListBullet"/>
      </w:pPr>
      <w:r>
        <w:t>Async para operaciones de I/O.</w:t>
      </w:r>
    </w:p>
    <w:p>
      <w:pPr>
        <w:pStyle w:val="ListBullet"/>
      </w:pPr>
      <w:r>
        <w:t>SQL parametrizado; nunca concatenar entrada del usuario.</w:t>
      </w:r>
    </w:p>
    <w:p>
      <w:pPr>
        <w:pStyle w:val="ListBullet"/>
      </w:pPr>
      <w:r>
        <w:t>DTOs/ViewModels no sustituyen entidades del dominio.</w:t>
      </w:r>
    </w:p>
    <w:p>
      <w:pPr>
        <w:pStyle w:val="ListBullet"/>
      </w:pPr>
      <w:r>
        <w:t>Validaciones en UI para experiencia y nuevamente en Application/DB cuando protejan integridad.</w:t>
      </w:r>
    </w:p>
    <w:p>
      <w:pPr>
        <w:pStyle w:val="ListBullet"/>
      </w:pPr>
      <w:r>
        <w:t>DI desde el Composition Root; evitar new dispersos para servicios principales.</w:t>
      </w:r>
    </w:p>
    <w:p>
      <w:pPr>
        <w:pStyle w:val="Heading2"/>
      </w:pPr>
      <w:r>
        <w:t>18.2 Git</w:t>
      </w:r>
    </w:p>
    <w:p>
      <w:pPr>
        <w:pStyle w:val="ListBullet"/>
      </w:pPr>
      <w:r>
        <w:t>main representa código integrable/estable.</w:t>
      </w:r>
    </w:p>
    <w:p>
      <w:pPr>
        <w:pStyle w:val="ListBullet"/>
      </w:pPr>
      <w:r>
        <w:t>Ramas por módulo o mejora importante.</w:t>
      </w:r>
    </w:p>
    <w:p>
      <w:pPr>
        <w:pStyle w:val="ListBullet"/>
      </w:pPr>
      <w:r>
        <w:t>PR antes de integrar cambios relevantes.</w:t>
      </w:r>
    </w:p>
    <w:p>
      <w:pPr>
        <w:pStyle w:val="ListBullet"/>
      </w:pPr>
      <w:r>
        <w:t>No versionar bin/, obj/, .vs/, publish/, logs ni secretos.</w:t>
      </w:r>
    </w:p>
    <w:p>
      <w:pPr>
        <w:pStyle w:val="ListBullet"/>
      </w:pPr>
      <w:r>
        <w:t>Commits con alcance claro.</w:t>
      </w:r>
    </w:p>
    <w:p>
      <w:pPr>
        <w:pStyle w:val="Heading2"/>
      </w:pPr>
      <w:r>
        <w:t>18.3 SQL Server</w:t>
      </w:r>
    </w:p>
    <w:p>
      <w:pPr>
        <w:pStyle w:val="ListBullet"/>
      </w:pPr>
      <w:r>
        <w:t>Scripts de evolución versionados: 001_Core.sql, 002_Inventory.sql, etc.</w:t>
      </w:r>
    </w:p>
    <w:p>
      <w:pPr>
        <w:pStyle w:val="ListBullet"/>
      </w:pPr>
      <w:r>
        <w:t>PK/FK/constraints explícitos.</w:t>
      </w:r>
    </w:p>
    <w:p>
      <w:pPr>
        <w:pStyle w:val="ListBullet"/>
      </w:pPr>
      <w:r>
        <w:t>Índices definidos por patrones reales de consulta.</w:t>
      </w:r>
    </w:p>
    <w:p>
      <w:pPr>
        <w:pStyle w:val="ListBullet"/>
      </w:pPr>
      <w:r>
        <w:t>Transacciones en operaciones compuestas.</w:t>
      </w:r>
    </w:p>
    <w:p>
      <w:pPr>
        <w:pStyle w:val="ListBullet"/>
      </w:pPr>
      <w:r>
        <w:t>rowversion donde sea útil para edición concurrente.</w:t>
      </w:r>
    </w:p>
    <w:p>
      <w:pPr>
        <w:pStyle w:val="ListBullet"/>
      </w:pPr>
      <w:r>
        <w:t>Fechas almacenadas de forma coherente y convertidas a zona local en presentación según necesidad.</w:t>
      </w:r>
    </w:p>
    <w:p>
      <w:pPr>
        <w:pStyle w:val="ListBullet"/>
      </w:pPr>
      <w:r>
        <w:t>No confiar únicamente en validaciones del cliente WPF para integridad de datos.</w:t>
      </w:r>
    </w:p>
    <w:p>
      <w:pPr>
        <w:pStyle w:val="Heading2"/>
      </w:pPr>
      <w:r>
        <w:t>18.4 Producción inicial y respaldos</w:t>
      </w:r>
    </w:p>
    <w:p>
      <w:r>
        <w:t>La PC principal de producción utilizará Windows 11 y permanecerá encendida durante la operación. Se dispondrá de OneDrive como destino secundario de respaldo. GoDental debe contemplar respaldo automático diario de SQL Server y documentación de restauración antes de entrar en producción.</w:t>
      </w:r>
    </w:p>
    <w:p>
      <w:pPr>
        <w:pStyle w:val="ListBullet"/>
      </w:pPr>
      <w:r>
        <w:t>No sincronizar los archivos MDF/LDF activos directamente con OneDrive.</w:t>
      </w:r>
    </w:p>
    <w:p>
      <w:pPr>
        <w:pStyle w:val="ListBullet"/>
      </w:pPr>
      <w:r>
        <w:t>Generar primero un backup consistente de SQL Server (.bak) y luego copiar/sincronizar ese archivo a la ubicación de respaldo.</w:t>
      </w:r>
    </w:p>
    <w:p>
      <w:pPr>
        <w:pStyle w:val="ListBullet"/>
      </w:pPr>
      <w:r>
        <w:t>Conservar varias generaciones de backup para evitar que un respaldo corrupto o un error reciente reemplace la única copia útil.</w:t>
      </w:r>
    </w:p>
    <w:p>
      <w:pPr>
        <w:pStyle w:val="ListBullet"/>
      </w:pPr>
      <w:r>
        <w:t>La edición/instancia exacta de SQL Server y la política final de retención se definirán en ARQ-01/DB-01 antes del despliegue.</w:t>
      </w:r>
    </w:p>
    <w:p>
      <w:pPr>
        <w:pStyle w:val="Heading1"/>
      </w:pPr>
      <w:r>
        <w:t>19. Roadmap de desarrollo</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2EC"/>
            <w:tcMar>
              <w:top w:w="100" w:type="dxa"/>
              <w:start w:w="120" w:type="dxa"/>
              <w:bottom w:w="100" w:type="dxa"/>
              <w:end w:w="120" w:type="dxa"/>
            </w:tcMar>
          </w:tcPr>
          <w:p>
            <w:r>
              <w:rPr>
                <w:b/>
              </w:rPr>
              <w:t>Fase</w:t>
            </w:r>
          </w:p>
        </w:tc>
        <w:tc>
          <w:tcPr>
            <w:tcW w:type="dxa" w:w="4997"/>
            <w:shd w:fill="D9E2EC"/>
            <w:tcMar>
              <w:top w:w="100" w:type="dxa"/>
              <w:start w:w="120" w:type="dxa"/>
              <w:bottom w:w="100" w:type="dxa"/>
              <w:end w:w="120" w:type="dxa"/>
            </w:tcMar>
          </w:tcPr>
          <w:p>
            <w:r>
              <w:rPr>
                <w:b/>
              </w:rPr>
              <w:t>Objetivo</w:t>
            </w:r>
          </w:p>
        </w:tc>
      </w:tr>
      <w:tr>
        <w:tc>
          <w:tcPr>
            <w:tcW w:type="dxa" w:w="4997"/>
            <w:tcMar>
              <w:top w:w="100" w:type="dxa"/>
              <w:start w:w="120" w:type="dxa"/>
              <w:bottom w:w="100" w:type="dxa"/>
              <w:end w:w="120" w:type="dxa"/>
            </w:tcMar>
          </w:tcPr>
          <w:p>
            <w:r>
              <w:t>Fase 1 — Dominio y BD</w:t>
            </w:r>
          </w:p>
        </w:tc>
        <w:tc>
          <w:tcPr>
            <w:tcW w:type="dxa" w:w="4997"/>
            <w:tcMar>
              <w:top w:w="100" w:type="dxa"/>
              <w:start w:w="120" w:type="dxa"/>
              <w:bottom w:w="100" w:type="dxa"/>
              <w:end w:w="120" w:type="dxa"/>
            </w:tcMar>
          </w:tcPr>
          <w:p>
            <w:r>
              <w:t>Definir entidades, campos, tipos SQL Server, PK/FK, restricciones, índices, catálogos y relaciones.</w:t>
            </w:r>
          </w:p>
        </w:tc>
      </w:tr>
      <w:tr>
        <w:tc>
          <w:tcPr>
            <w:tcW w:type="dxa" w:w="4997"/>
            <w:tcMar>
              <w:top w:w="100" w:type="dxa"/>
              <w:start w:w="120" w:type="dxa"/>
              <w:bottom w:w="100" w:type="dxa"/>
              <w:end w:w="120" w:type="dxa"/>
            </w:tcMar>
          </w:tcPr>
          <w:p>
            <w:r>
              <w:t>Fase 2 — Esqueleto C#</w:t>
            </w:r>
          </w:p>
        </w:tc>
        <w:tc>
          <w:tcPr>
            <w:tcW w:type="dxa" w:w="4997"/>
            <w:tcMar>
              <w:top w:w="100" w:type="dxa"/>
              <w:start w:w="120" w:type="dxa"/>
              <w:bottom w:w="100" w:type="dxa"/>
              <w:end w:w="120" w:type="dxa"/>
            </w:tcMar>
          </w:tcPr>
          <w:p>
            <w:r>
              <w:t>Crear solución/proyectos, DI, conexión, MVVM base, navegación, login, temas y seguridad.</w:t>
            </w:r>
          </w:p>
        </w:tc>
      </w:tr>
      <w:tr>
        <w:tc>
          <w:tcPr>
            <w:tcW w:type="dxa" w:w="4997"/>
            <w:tcMar>
              <w:top w:w="100" w:type="dxa"/>
              <w:start w:w="120" w:type="dxa"/>
              <w:bottom w:w="100" w:type="dxa"/>
              <w:end w:w="120" w:type="dxa"/>
            </w:tcMar>
          </w:tcPr>
          <w:p>
            <w:r>
              <w:t>Fase 3 — Productos e Inventario</w:t>
            </w:r>
          </w:p>
        </w:tc>
        <w:tc>
          <w:tcPr>
            <w:tcW w:type="dxa" w:w="4997"/>
            <w:tcMar>
              <w:top w:w="100" w:type="dxa"/>
              <w:start w:w="120" w:type="dxa"/>
              <w:bottom w:w="100" w:type="dxa"/>
              <w:end w:w="120" w:type="dxa"/>
            </w:tcMar>
          </w:tcPr>
          <w:p>
            <w:r>
              <w:t>CRUD, lotes, existencias, movimientos, conteos, stock crítico, vencimientos.</w:t>
            </w:r>
          </w:p>
        </w:tc>
      </w:tr>
      <w:tr>
        <w:tc>
          <w:tcPr>
            <w:tcW w:type="dxa" w:w="4997"/>
            <w:tcMar>
              <w:top w:w="100" w:type="dxa"/>
              <w:start w:w="120" w:type="dxa"/>
              <w:bottom w:w="100" w:type="dxa"/>
              <w:end w:w="120" w:type="dxa"/>
            </w:tcMar>
          </w:tcPr>
          <w:p>
            <w:r>
              <w:t>Fase 4 — Proveedores / Compras / Importaciones</w:t>
            </w:r>
          </w:p>
        </w:tc>
        <w:tc>
          <w:tcPr>
            <w:tcW w:type="dxa" w:w="4997"/>
            <w:tcMar>
              <w:top w:w="100" w:type="dxa"/>
              <w:start w:w="120" w:type="dxa"/>
              <w:bottom w:w="100" w:type="dxa"/>
              <w:end w:w="120" w:type="dxa"/>
            </w:tcMar>
          </w:tcPr>
          <w:p>
            <w:r>
              <w:t>Órdenes, recepciones, gastos, landed cost, seguimiento China/DHL.</w:t>
            </w:r>
          </w:p>
        </w:tc>
      </w:tr>
      <w:tr>
        <w:tc>
          <w:tcPr>
            <w:tcW w:type="dxa" w:w="4997"/>
            <w:tcMar>
              <w:top w:w="100" w:type="dxa"/>
              <w:start w:w="120" w:type="dxa"/>
              <w:bottom w:w="100" w:type="dxa"/>
              <w:end w:w="120" w:type="dxa"/>
            </w:tcMar>
          </w:tcPr>
          <w:p>
            <w:r>
              <w:t>Fase 5 — Clientes / Cotizaciones / Ventas</w:t>
            </w:r>
          </w:p>
        </w:tc>
        <w:tc>
          <w:tcPr>
            <w:tcW w:type="dxa" w:w="4997"/>
            <w:tcMar>
              <w:top w:w="100" w:type="dxa"/>
              <w:start w:w="120" w:type="dxa"/>
              <w:bottom w:w="100" w:type="dxa"/>
              <w:end w:w="120" w:type="dxa"/>
            </w:tcMar>
          </w:tcPr>
          <w:p>
            <w:r>
              <w:t>Flujo comercial completo y concurrencia.</w:t>
            </w:r>
          </w:p>
        </w:tc>
      </w:tr>
      <w:tr>
        <w:tc>
          <w:tcPr>
            <w:tcW w:type="dxa" w:w="4997"/>
            <w:tcMar>
              <w:top w:w="100" w:type="dxa"/>
              <w:start w:w="120" w:type="dxa"/>
              <w:bottom w:w="100" w:type="dxa"/>
              <w:end w:w="120" w:type="dxa"/>
            </w:tcMar>
          </w:tcPr>
          <w:p>
            <w:r>
              <w:t>Fase 6 — Caja / Pagos / Crédito / PDF</w:t>
            </w:r>
          </w:p>
        </w:tc>
        <w:tc>
          <w:tcPr>
            <w:tcW w:type="dxa" w:w="4997"/>
            <w:tcMar>
              <w:top w:w="100" w:type="dxa"/>
              <w:start w:w="120" w:type="dxa"/>
              <w:bottom w:w="100" w:type="dxa"/>
              <w:end w:w="120" w:type="dxa"/>
            </w:tcMar>
          </w:tcPr>
          <w:p>
            <w:r>
              <w:t>Turnos, cobros, CxC, recibos y reportes operativos.</w:t>
            </w:r>
          </w:p>
        </w:tc>
      </w:tr>
      <w:tr>
        <w:tc>
          <w:tcPr>
            <w:tcW w:type="dxa" w:w="4997"/>
            <w:tcMar>
              <w:top w:w="100" w:type="dxa"/>
              <w:start w:w="120" w:type="dxa"/>
              <w:bottom w:w="100" w:type="dxa"/>
              <w:end w:w="120" w:type="dxa"/>
            </w:tcMar>
          </w:tcPr>
          <w:p>
            <w:r>
              <w:t>Fase 7 — Dashboard / Reportes / Inteligencia</w:t>
            </w:r>
          </w:p>
        </w:tc>
        <w:tc>
          <w:tcPr>
            <w:tcW w:type="dxa" w:w="4997"/>
            <w:tcMar>
              <w:top w:w="100" w:type="dxa"/>
              <w:start w:w="120" w:type="dxa"/>
              <w:bottom w:w="100" w:type="dxa"/>
              <w:end w:w="120" w:type="dxa"/>
            </w:tcMar>
          </w:tcPr>
          <w:p>
            <w:r>
              <w:t>Indicadores, rentabilidad, rotación y recomendaciones.</w:t>
            </w:r>
          </w:p>
        </w:tc>
      </w:tr>
      <w:tr>
        <w:tc>
          <w:tcPr>
            <w:tcW w:type="dxa" w:w="4997"/>
            <w:tcMar>
              <w:top w:w="100" w:type="dxa"/>
              <w:start w:w="120" w:type="dxa"/>
              <w:bottom w:w="100" w:type="dxa"/>
              <w:end w:w="120" w:type="dxa"/>
            </w:tcMar>
          </w:tcPr>
          <w:p>
            <w:r>
              <w:t>Fase 8 — Online / Prospección</w:t>
            </w:r>
          </w:p>
        </w:tc>
        <w:tc>
          <w:tcPr>
            <w:tcW w:type="dxa" w:w="4997"/>
            <w:tcMar>
              <w:top w:w="100" w:type="dxa"/>
              <w:start w:w="120" w:type="dxa"/>
              <w:bottom w:w="100" w:type="dxa"/>
              <w:end w:w="120" w:type="dxa"/>
            </w:tcMar>
          </w:tcPr>
          <w:p>
            <w:r>
              <w:t>Zonas, prospectos, campañas y procesos programados.</w:t>
            </w:r>
          </w:p>
        </w:tc>
      </w:tr>
      <w:tr>
        <w:tc>
          <w:tcPr>
            <w:tcW w:type="dxa" w:w="4997"/>
            <w:tcMar>
              <w:top w:w="100" w:type="dxa"/>
              <w:start w:w="120" w:type="dxa"/>
              <w:bottom w:w="100" w:type="dxa"/>
              <w:end w:w="120" w:type="dxa"/>
            </w:tcMar>
          </w:tcPr>
          <w:p>
            <w:r>
              <w:t>Fase 9 — DTE / Crédito Fiscal</w:t>
            </w:r>
          </w:p>
        </w:tc>
        <w:tc>
          <w:tcPr>
            <w:tcW w:type="dxa" w:w="4997"/>
            <w:tcMar>
              <w:top w:w="100" w:type="dxa"/>
              <w:start w:w="120" w:type="dxa"/>
              <w:bottom w:w="100" w:type="dxa"/>
              <w:end w:w="120" w:type="dxa"/>
            </w:tcMar>
          </w:tcPr>
          <w:p>
            <w:r>
              <w:t>Integración real con Hacienda cuando existan requisitos y credenciales vigentes.</w:t>
            </w:r>
          </w:p>
        </w:tc>
      </w:tr>
    </w:tbl>
    <w:p>
      <w:pPr>
        <w:pStyle w:val="Heading1"/>
      </w:pPr>
      <w:r>
        <w:t>20. Pendientes por definir</w:t>
      </w:r>
    </w:p>
    <w:p>
      <w:r>
        <w:t>La versión 0.2 cerró la mayoría de decisiones comerciales iniciales. Los siguientes puntos siguen pendientes y no bloquean el diseño DB-01:</w:t>
      </w:r>
    </w:p>
    <w:p>
      <w:pPr>
        <w:pStyle w:val="ListBullet"/>
      </w:pPr>
      <w:r>
        <w:t>Datos legales/fiscales reales de la empresa: razón social, NIT, NRC, giro, dirección, contactos y demás información que proporcione la propietaria.</w:t>
      </w:r>
    </w:p>
    <w:p>
      <w:pPr>
        <w:pStyle w:val="ListBullet"/>
      </w:pPr>
      <w:r>
        <w:t>Archivo/logo definitivo y manual visual final de marca GoDental; el branding conceptual ya está definido.</w:t>
      </w:r>
    </w:p>
    <w:p>
      <w:pPr>
        <w:pStyle w:val="ListBullet"/>
      </w:pPr>
      <w:r>
        <w:t>Proveedor/terminal/procesador para cobro real con tarjeta y forma de conciliación.</w:t>
      </w:r>
    </w:p>
    <w:p>
      <w:pPr>
        <w:pStyle w:val="ListBullet"/>
      </w:pPr>
      <w:r>
        <w:t>Prioridad exacta y combinaciones entre listas de precio, promociones, descuentos por volumen y descuentos manuales.</w:t>
      </w:r>
    </w:p>
    <w:p>
      <w:pPr>
        <w:pStyle w:val="ListBullet"/>
      </w:pPr>
      <w:r>
        <w:t>Regla exacta de bloqueo por mora, excepciones y quién puede autorizarlas.</w:t>
      </w:r>
    </w:p>
    <w:p>
      <w:pPr>
        <w:pStyle w:val="ListBullet"/>
      </w:pPr>
      <w:r>
        <w:t>Plantillas visuales definitivas de ticket, documento carta, recibo, estado de cuenta y orden de compra; además del modelo de impresora térmica futuro.</w:t>
      </w:r>
    </w:p>
    <w:p>
      <w:pPr>
        <w:pStyle w:val="ListBullet"/>
      </w:pPr>
      <w:r>
        <w:t>Edición/instancia final de SQL Server en producción, topología de red y política exacta de retención/prueba de restauración de backups.</w:t>
      </w:r>
    </w:p>
    <w:p>
      <w:pPr>
        <w:pStyle w:val="ListBullet"/>
      </w:pPr>
      <w:r>
        <w:t>Proveedores oficiales/autorizados para automatización futura de WhatsApp Business, Instagram/Facebook y demás canales Online.</w:t>
      </w:r>
    </w:p>
    <w:p>
      <w:pPr>
        <w:pStyle w:val="ListBullet"/>
      </w:pPr>
      <w:r>
        <w:t>Detalles técnicos vigentes de integración DTE/Crédito Fiscal cuando se implemente el módulo FIS-01.</w:t>
      </w:r>
    </w:p>
    <w:p>
      <w:pPr>
        <w:pStyle w:val="Heading1"/>
      </w:pPr>
      <w:r>
        <w:t>21. Guía de uso como fuente del proyecto</w:t>
      </w:r>
    </w:p>
    <w:p>
      <w:r>
        <w:t>Al iniciar una nueva conversación o módulo, este documento debe tratarse como contexto normativo del proyecto. Se recomienda subir la versión vigente y pedir que se consulte antes de diseñar o modificar código.</w:t>
      </w:r>
    </w:p>
    <w:tbl>
      <w:tblPr>
        <w:tblW w:type="auto" w:w="0"/>
        <w:jc w:val="center"/>
        <w:tblLayout w:type="autofit"/>
        <w:tblLook w:firstColumn="1" w:firstRow="1" w:lastColumn="0" w:lastRow="0" w:noHBand="0" w:noVBand="1" w:val="04A0"/>
      </w:tblPr>
      <w:tblGrid>
        <w:gridCol w:w="9994"/>
      </w:tblGrid>
      <w:tr>
        <w:trPr>
          <w:cantSplit/>
        </w:trPr>
        <w:tc>
          <w:tcPr>
            <w:tcW w:type="dxa" w:w="9994"/>
            <w:tcMar>
              <w:top w:w="130" w:type="dxa"/>
              <w:start w:w="160" w:type="dxa"/>
              <w:bottom w:w="130" w:type="dxa"/>
              <w:end w:w="160" w:type="dxa"/>
            </w:tcMar>
            <w:shd w:fill="F3F5F7"/>
          </w:tcPr>
          <w:p>
            <w:r>
              <w:rPr>
                <w:b/>
                <w:sz w:val="21"/>
              </w:rPr>
              <w:t>Instrucción sugerida para futuras sesiones</w:t>
            </w:r>
            <w:r>
              <w:br/>
              <w:t>“Consulta el Documento Maestro vigente del proyecto antes de proponer cambios. Respeta sus decisiones estructurales. Si una solicitud nueva contradice el documento, indícalo y propón actualizar la versión antes de implementar.”</w:t>
            </w:r>
          </w:p>
        </w:tc>
      </w:tr>
    </w:tbl>
    <w:p>
      <w:pPr>
        <w:spacing w:after="0"/>
      </w:pPr>
    </w:p>
    <w:p>
      <w:pPr>
        <w:pStyle w:val="Heading2"/>
      </w:pPr>
      <w:r>
        <w:t>21.1 Documentos complementarios recomendados</w:t>
      </w:r>
    </w:p>
    <w:p>
      <w:pPr>
        <w:pStyle w:val="ListBullet"/>
      </w:pPr>
      <w:r>
        <w:t>DM-01 Documento Maestro (este archivo).</w:t>
      </w:r>
    </w:p>
    <w:p>
      <w:pPr>
        <w:pStyle w:val="ListBullet"/>
      </w:pPr>
      <w:r>
        <w:t>DB-01 Modelo de Datos y Diccionario SQL Server.</w:t>
      </w:r>
    </w:p>
    <w:p>
      <w:pPr>
        <w:pStyle w:val="ListBullet"/>
      </w:pPr>
      <w:r>
        <w:t>ARQ-01 Arquitectura C# y convenciones de proyecto.</w:t>
      </w:r>
    </w:p>
    <w:p>
      <w:pPr>
        <w:pStyle w:val="ListBullet"/>
      </w:pPr>
      <w:r>
        <w:t>UX-01 Guía de UI/UX y componentes visuales.</w:t>
      </w:r>
    </w:p>
    <w:p>
      <w:pPr>
        <w:pStyle w:val="ListBullet"/>
      </w:pPr>
      <w:r>
        <w:t>SEC-01 Roles, permisos y auditoría.</w:t>
      </w:r>
    </w:p>
    <w:p>
      <w:pPr>
        <w:pStyle w:val="ListBullet"/>
      </w:pPr>
      <w:r>
        <w:t>INV-01 Reglas de inventario, lotes, vencimientos y costeo.</w:t>
      </w:r>
    </w:p>
    <w:p>
      <w:pPr>
        <w:pStyle w:val="ListBullet"/>
      </w:pPr>
      <w:r>
        <w:t>VEN-01 Ventas, caja, crédito y devoluciones.</w:t>
      </w:r>
    </w:p>
    <w:p>
      <w:pPr>
        <w:pStyle w:val="ListBullet"/>
      </w:pPr>
      <w:r>
        <w:t>IMP-01 Compras e importaciones.</w:t>
      </w:r>
    </w:p>
    <w:p>
      <w:pPr>
        <w:pStyle w:val="ListBullet"/>
      </w:pPr>
      <w:r>
        <w:t>FIS-01 Fiscal/DTE (cuando corresponda).</w:t>
      </w:r>
    </w:p>
    <w:p>
      <w:pPr>
        <w:pStyle w:val="ListBullet"/>
      </w:pPr>
      <w:r>
        <w:t>ONL-01 Prospección y campañas Online.</w:t>
      </w:r>
    </w:p>
    <w:p/>
    <w:p>
      <w:pPr>
        <w:jc w:val="center"/>
      </w:pPr>
      <w:r>
        <w:t>Fin del Documento Maestro v0.2</w:t>
      </w:r>
    </w:p>
    <w:sectPr w:rsidR="00FC693F" w:rsidRPr="0006063C" w:rsidSect="00034616">
      <w:footerReference w:type="default" r:id="rId9"/>
      <w:head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E6E6E"/>
        <w:sz w:val="16"/>
      </w:rPr>
      <w:t>GoDental · Documento Maestro v0.2 · 06/09/2026</w:t>
    </w:r>
  </w:p>
  <w:p>
    <w:pPr>
      <w:jc w:val="right"/>
    </w:pPr>
    <w:r>
      <w:rPr>
        <w:color w:val="6E6E6E"/>
        <w:sz w:val="16"/>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E6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8658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GoDental - Documento Maestro del Proyecto v0.2</dc:title>
  <dc:subject>Arquitectura, reglas, alcance, modelo funcional y roadmap de GoDental</dc:subject>
  <dc:creator>python-docx</dc:creator>
  <cp:keywords>DepositoDental, WPF, C#, SQL Server, Dapper, inventario, ventas, DTE, El Salvador</cp:keywords>
  <dc:description>Versión 0.2: decisiones comerciales y operativas consolidadas.</dc:description>
  <cp:lastModifiedBy/>
  <cp:revision>1</cp:revision>
  <dcterms:created xsi:type="dcterms:W3CDTF">2013-12-23T23:15:00Z</dcterms:created>
  <dcterms:modified xsi:type="dcterms:W3CDTF">2013-12-23T23:15:00Z</dcterms:modified>
  <cp:category/>
</cp:coreProperties>
</file>