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-419844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Atividade semipresencial aula 03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 uma pesquisa na internet em sites de referência com a W3Schools e Mozilla Developer, relate os principais elementos CSS (propriedades) utilizados para realizar as formatações de conteúdos e os principais elementos estruturais do HTML.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Sobre o CSS Busque itens como alinhamento e posicionamento, margens, cores, fontes e outros que você julgue importante para o desenvolvimento Web em geral. Sobre o HTML busque saber a fundo o funcionamento das principais tags e atributos da linguagem.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Nossas referências principais: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sz w:val="26"/>
          <w:szCs w:val="26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https://developer.mozilla.org/pt-BR/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sz w:val="26"/>
          <w:szCs w:val="26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13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Width: determina a largura da área de conteúdo de um elemento.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Float: determina que um elemento deve ser retirado do seu fluxo normal e colocado ao longo do lado direito ou esquerdo.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Text Align: descreve como conteúdo texto é alinhado no elemento pai em bloco.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Margin: a propriedade margin do CSS define a área de margem nos quatro lados do elemento (margin-top, margin-right, margin-bottom, e margin-left).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Padding: define a distância entre o conteúdo de um elemento e suas bordas. 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Font-family: </w:t>
      </w: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permite que se faça uma lista de prioridades de famílias de fontes e/ou nomes genéricos de famílias a serem especificados para um elemento selecionado.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Background-Color: define a cor de fundo de um elemento.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Border-Radius: permite atribuir aos elementos bordas arredondadas.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Clear: especifica se um elemento pode ter elementos flutuantes ao seu lado ou se devem ser movidos para abaixo dele.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ab/>
        <w:t xml:space="preserve">Html: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Header: é utilizado para representar o cabeçalho.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Body: representa o conteúdo de um documento HTML.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Main: define o conteúdo principal dentro do &lt;body&gt;.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Style: contém informações de estilo para um documento.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Div: é um container genérico para conteúdo.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Span: é um contêiner genérico em linha para conteúdo fraseado.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Cabeçalho (&lt;h1&gt;, &lt;h2&gt;, &lt;h3&gt;, &lt;h4&gt;, &lt;h5&gt;, &lt;h6&gt;)...: Definem um título.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Br: produz uma quebra de linha em um texto.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Hr: representa uma quebra temática entre elementos de nível de parágrafo.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&lt;p&gt;: Representa um parágrafo.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1b1b1b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highlight w:val="white"/>
          <w:rtl w:val="0"/>
        </w:rPr>
        <w:t xml:space="preserve">&lt;a&gt;: para criar um vínculo (link) com outro documento.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007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developer.mozilla.org/pt-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