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2.xml" ContentType="application/vnd.openxmlformats-officedocument.wordprocessingml.header+xml"/>
  <Override PartName="/word/styles.xml" ContentType="application/vnd.openxmlformats-officedocument.wordprocessingml.styles+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br/>
        <w:t xml:space="preserve">                   </w:t>
      </w:r>
      <w:r>
        <w:rPr>
          <w:rFonts w:eastAsia="Arial Black" w:cs="Arial Black" w:ascii="Arial Black" w:hAnsi="Arial Black"/>
          <w:b/>
          <w:bCs/>
          <w:sz w:val="24"/>
          <w:szCs w:val="24"/>
          <w:shd w:fill="E2E0D8" w:val="clear"/>
        </w:rPr>
        <w:t>CONTRATO DE PRESTAÇÃO DE SERVIÇOS ADVOCATÍCIOS</w:t>
      </w:r>
      <w:r>
        <w:rPr>
          <w:rFonts w:eastAsia="Times New Roman" w:cs="Times New Roman" w:ascii="Times New Roman" w:hAnsi="Times New Roman"/>
          <w:sz w:val="24"/>
          <w:szCs w:val="24"/>
          <w:shd w:fill="E2E0D8" w:val="clear"/>
        </w:rPr>
        <w:br/>
      </w:r>
      <w:r>
        <w:rPr>
          <w:rFonts w:eastAsia="Times New Roman" w:cs="Times New Roman" w:ascii="Times New Roman" w:hAnsi="Times New Roman"/>
        </w:rPr>
        <w:br/>
        <w:br/>
        <w:br/>
        <w:t>Pelo presente instrumento particular, de um lado: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b/>
          <w:bCs/>
        </w:rPr>
        <w:t>[NOME]</w:t>
      </w:r>
      <w:r>
        <w:rPr>
          <w:rFonts w:eastAsia="Times New Roman" w:cs="Times New Roman" w:ascii="Times New Roman" w:hAnsi="Times New Roman"/>
        </w:rPr>
        <w:t xml:space="preserve">, brasileiro(a), </w:t>
      </w:r>
      <w:r>
        <w:rPr/>
        <w:t>[Estado civil]</w:t>
      </w:r>
      <w:r>
        <w:rPr>
          <w:rFonts w:eastAsia="Times New Roman" w:cs="Times New Roman" w:ascii="Times New Roman" w:hAnsi="Times New Roman"/>
        </w:rPr>
        <w:t xml:space="preserve">, </w:t>
      </w:r>
      <w:r>
        <w:rPr/>
        <w:t>[Profissão]</w:t>
      </w:r>
      <w:r>
        <w:rPr>
          <w:rFonts w:eastAsia="Times New Roman" w:cs="Times New Roman" w:ascii="Times New Roman" w:hAnsi="Times New Roman"/>
        </w:rPr>
        <w:t xml:space="preserve">, inscrito no CPF sob o n.º </w:t>
      </w:r>
      <w:r>
        <w:rPr/>
        <w:t>[CPF]</w:t>
      </w:r>
      <w:r>
        <w:rPr>
          <w:rFonts w:eastAsia="Times New Roman" w:cs="Times New Roman" w:ascii="Times New Roman" w:hAnsi="Times New Roman"/>
        </w:rPr>
        <w:t xml:space="preserve">, portador do RG n.º </w:t>
      </w:r>
      <w:r>
        <w:rPr/>
        <w:t>[N° RG]</w:t>
      </w:r>
      <w:r>
        <w:rPr>
          <w:rFonts w:eastAsia="Times New Roman" w:cs="Times New Roman" w:ascii="Times New Roman" w:hAnsi="Times New Roman"/>
        </w:rPr>
        <w:t xml:space="preserve"> </w:t>
      </w:r>
      <w:r>
        <w:rPr/>
        <w:t>[Orgão emissor do RG]</w:t>
      </w:r>
      <w:r>
        <w:rPr>
          <w:rFonts w:eastAsia="Times New Roman" w:cs="Times New Roman" w:ascii="Times New Roman" w:hAnsi="Times New Roman"/>
        </w:rPr>
        <w:t xml:space="preserve">, residente e domiciliado(a) </w:t>
      </w:r>
      <w:r>
        <w:rPr/>
        <w:t>[Rua]</w:t>
      </w:r>
      <w:r>
        <w:rPr>
          <w:rFonts w:eastAsia="Times New Roman" w:cs="Times New Roman" w:ascii="Times New Roman" w:hAnsi="Times New Roman"/>
        </w:rPr>
        <w:t xml:space="preserve">, nº </w:t>
      </w:r>
      <w:r>
        <w:rPr/>
        <w:t>[N° da residência]</w:t>
      </w:r>
      <w:r>
        <w:rPr>
          <w:rFonts w:eastAsia="Times New Roman" w:cs="Times New Roman" w:ascii="Times New Roman" w:hAnsi="Times New Roman"/>
        </w:rPr>
        <w:t xml:space="preserve">, </w:t>
      </w:r>
      <w:r>
        <w:rPr/>
        <w:t>[Bairro]</w:t>
      </w:r>
      <w:r>
        <w:rPr>
          <w:rFonts w:eastAsia="Times New Roman" w:cs="Times New Roman" w:ascii="Times New Roman" w:hAnsi="Times New Roman"/>
        </w:rPr>
        <w:t xml:space="preserve">, </w:t>
      </w:r>
      <w:r>
        <w:rPr/>
        <w:t xml:space="preserve">[Cidade] </w:t>
      </w:r>
      <w:r>
        <w:rPr>
          <w:rFonts w:eastAsia="Times New Roman" w:cs="Times New Roman" w:ascii="Times New Roman" w:hAnsi="Times New Roman"/>
        </w:rPr>
        <w:t xml:space="preserve">– </w:t>
      </w:r>
      <w:r>
        <w:rPr/>
        <w:t>[Estado]</w:t>
      </w:r>
      <w:r>
        <w:rPr>
          <w:rFonts w:eastAsia="Times New Roman" w:cs="Times New Roman" w:ascii="Times New Roman" w:hAnsi="Times New Roman"/>
        </w:rPr>
        <w:t xml:space="preserve">, CEP </w:t>
      </w:r>
      <w:r>
        <w:rPr/>
        <w:t>[CEP]</w:t>
      </w:r>
      <w:r>
        <w:rPr>
          <w:rFonts w:eastAsia="Times New Roman" w:cs="Times New Roman" w:ascii="Times New Roman" w:hAnsi="Times New Roman"/>
        </w:rPr>
        <w:t>, doravante denominado(a) simplesmente CONTRATANTE;</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e, de outro lado: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b/>
          <w:bCs/>
        </w:rPr>
        <w:t>CÁSSIO MIGUEL DE OLIVEIRA CAVALCANTE</w:t>
      </w:r>
      <w:r>
        <w:rPr>
          <w:rFonts w:eastAsia="Times New Roman" w:cs="Times New Roman" w:ascii="Times New Roman" w:hAnsi="Times New Roman"/>
        </w:rPr>
        <w:t>, brasileiro, casado, advogado inscrito na Ordem dos Advogados do Brasil – Seccional de Mato Grosso do Sul sob o n.º 22.647, com endereço profissional na Avenida Afonso Pena, n.º 5723, Sala 11 – Condomínio Evolution Business Center – Cidade Jardim, Campo Grande/MS, CEP 79031-010;</w:t>
        <w:br/>
        <w:t>e</w:t>
      </w:r>
    </w:p>
    <w:p>
      <w:pPr>
        <w:pStyle w:val="normal1"/>
        <w:spacing w:lineRule="auto" w:line="276" w:before="0" w:after="0"/>
        <w:rPr>
          <w:rFonts w:ascii="Times New Roman" w:hAnsi="Times New Roman" w:eastAsia="Times New Roman" w:cs="Times New Roman"/>
          <w:b/>
          <w:bCs/>
        </w:rPr>
      </w:pPr>
      <w:r>
        <w:rPr>
          <w:rFonts w:eastAsia="Times New Roman" w:cs="Times New Roman" w:ascii="Times New Roman" w:hAnsi="Times New Roman"/>
          <w:b/>
          <w:bCs/>
        </w:rPr>
        <w:t>CÁSSIO MIGUEL SOCIEDADE INDIVIDUAL DE ADVOCACIA</w:t>
      </w:r>
      <w:r>
        <w:rPr>
          <w:rFonts w:eastAsia="Times New Roman" w:cs="Times New Roman" w:ascii="Times New Roman" w:hAnsi="Times New Roman"/>
        </w:rPr>
        <w:t>, pessoa jurídica inscrita no CNPJ sob o n.º 43.734.988/0001-25, representada por seu titular Cássio Miguel De Oliveira Cavalcante, inscrito no CPF sob o n.º 023.756.021-61, com endereço na Avenida Afonso Pena, n.º 5723, Sala 11 – Condomínio Evolution Business Center – Cidade Jardim, Campo Grande/MS, CEP 79031-010, doravante denominados simplesmente CONTRATADOS, têm entre si justo e contratado o presente Contrato de Prestação de Serviços Advocatícios e Honorários, que será regido pelas cláusulas e condições seguintes.</w:t>
        <w:br/>
        <w:br/>
      </w:r>
      <w:r>
        <w:rPr>
          <w:rFonts w:eastAsia="Times New Roman" w:cs="Times New Roman" w:ascii="Times New Roman" w:hAnsi="Times New Roman"/>
          <w:b/>
          <w:bCs/>
        </w:rPr>
        <w:t>CLÁUSULA PRIMEIRA – DO OBJETO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O presente contrato tem por objeto a prestação de serviços advocatícios pelos CONTRATADOS em favor do</w:t>
      </w:r>
      <w:r>
        <w:rPr>
          <w:rFonts w:eastAsia="Times New Roman" w:cs="Times New Roman" w:ascii="Times New Roman" w:hAnsi="Times New Roman"/>
        </w:rPr>
        <w:t>(a)</w:t>
      </w:r>
      <w:r>
        <w:rPr>
          <w:rFonts w:eastAsia="Times New Roman" w:cs="Times New Roman" w:ascii="Times New Roman" w:hAnsi="Times New Roman"/>
        </w:rPr>
        <w:t xml:space="preserve"> CONTRATANTE, para atuação na defesa de seus interesses no procedimento administrativo de sindicância instaurado.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primeiro. A atuação profissional ora contratada compreende:</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a) análise dos autos e documentos relacionados à sindicância;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b) reunião ou reuniões para definição da estratégia defensiva;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c) preparação do</w:t>
      </w:r>
      <w:r>
        <w:rPr>
          <w:rFonts w:eastAsia="Times New Roman" w:cs="Times New Roman" w:ascii="Times New Roman" w:hAnsi="Times New Roman"/>
        </w:rPr>
        <w:t>(a)</w:t>
      </w:r>
      <w:r>
        <w:rPr>
          <w:rFonts w:eastAsia="Times New Roman" w:cs="Times New Roman" w:ascii="Times New Roman" w:hAnsi="Times New Roman"/>
        </w:rPr>
        <w:t xml:space="preserve"> CONTRATANTE para o interrogatório designado;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d) acompanhamento da audiência de interrogatório;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e) apresentação de requerimentos, manifestações, defesas, petições ou demais peças administrativas cabíveis no curso da sindicância;</w:t>
      </w:r>
    </w:p>
    <w:p>
      <w:pPr>
        <w:pStyle w:val="normal1"/>
        <w:spacing w:lineRule="auto" w:line="276" w:before="0" w:after="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f) eventual impetração de mandado de segurança, com pedido de medida liminar, visando à suspensão da sindicância e/ou da audiência de interrogatório, bem como ao arquivamento do procedimento, conforme viabilidade técnica a ser avaliada pelos CONTRATADOS a partir dos elementos disponíveis;</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g) eventual recurso administrativo no âmbito da sindicância;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h) eventual atuação em caso de conversão da sindicância em processo administrativo disciplinar ou procedimento equivalente;</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i) eventual interposição de recurso judicial contra decisão proferida no mandado de segurança, incluindo agravo de instrumento, recurso ordinário, recurso especial ou recurso extraordinário, desde que relacionado diretamente ao objeto ora contratado.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segundo. A atuação dos CONTRATADOS será desenvolvida com independência técnica e profissional, cabendo-lhes a definição da estratégia jurídica mais adequada à defesa dos interesses do</w:t>
      </w:r>
      <w:r>
        <w:rPr>
          <w:rFonts w:eastAsia="Times New Roman" w:cs="Times New Roman" w:ascii="Times New Roman" w:hAnsi="Times New Roman"/>
        </w:rPr>
        <w:t>(a)</w:t>
      </w:r>
      <w:r>
        <w:rPr>
          <w:rFonts w:eastAsia="Times New Roman" w:cs="Times New Roman" w:ascii="Times New Roman" w:hAnsi="Times New Roman"/>
        </w:rPr>
        <w:t xml:space="preserve"> CONTRATANTE, observados os documentos disponíveis, as informações prestadas, a legislação aplicável, as normas éticas da advocacia e as disposições da Ordem dos Advogados do Brasil.</w:t>
      </w:r>
    </w:p>
    <w:p>
      <w:pPr>
        <w:pStyle w:val="normal1"/>
        <w:spacing w:lineRule="auto" w:line="276" w:before="120" w:after="120"/>
        <w:rPr>
          <w:rFonts w:ascii="Times New Roman" w:hAnsi="Times New Roman" w:eastAsia="Times New Roman" w:cs="Times New Roman"/>
          <w:b/>
          <w:bCs/>
        </w:rPr>
      </w:pPr>
      <w:r>
        <w:rPr>
          <w:rFonts w:eastAsia="Times New Roman" w:cs="Times New Roman" w:ascii="Times New Roman" w:hAnsi="Times New Roman"/>
        </w:rPr>
        <w:t>Parágrafo terceiro. O presente contrato não implica promessa ou garantia de resultado, obrigando-se os CONTRATADOS à prestação dos serviços com zelo, diligência, técnica e observância das normas profissionais aplicáveis à advocacia.</w:t>
        <w:br/>
        <w:br/>
      </w:r>
      <w:r>
        <w:rPr>
          <w:rFonts w:eastAsia="Times New Roman" w:cs="Times New Roman" w:ascii="Times New Roman" w:hAnsi="Times New Roman"/>
          <w:b/>
          <w:bCs/>
        </w:rPr>
        <w:t>CLÁUSULA SEGUNDA – DOS HONORÁRIOS DE PRÓ-LABORE</w:t>
      </w:r>
    </w:p>
    <w:p>
      <w:pPr>
        <w:pStyle w:val="normal1"/>
        <w:spacing w:lineRule="auto" w:line="276" w:before="120" w:after="120"/>
        <w:rPr>
          <w:rFonts w:ascii="Times New Roman" w:hAnsi="Times New Roman" w:eastAsia="Times New Roman" w:cs="Times New Roman"/>
          <w:b/>
          <w:bCs/>
        </w:rPr>
      </w:pPr>
      <w:r>
        <w:rPr>
          <w:rFonts w:eastAsia="Times New Roman" w:cs="Times New Roman" w:ascii="Times New Roman" w:hAnsi="Times New Roman"/>
        </w:rPr>
        <w:t>Pela atuação profissional descrita na Cláusula Primeira, o</w:t>
      </w:r>
      <w:r>
        <w:rPr>
          <w:rFonts w:eastAsia="Times New Roman" w:cs="Times New Roman" w:ascii="Times New Roman" w:hAnsi="Times New Roman"/>
        </w:rPr>
        <w:t>(a)</w:t>
      </w:r>
      <w:r>
        <w:rPr>
          <w:rFonts w:eastAsia="Times New Roman" w:cs="Times New Roman" w:ascii="Times New Roman" w:hAnsi="Times New Roman"/>
        </w:rPr>
        <w:t xml:space="preserve"> CONTRATANTE pagará aos CONTRATADOS, a título de honorários de pró-labore, o valor total de </w:t>
      </w:r>
      <w:r>
        <w:rPr>
          <w:rFonts w:eastAsia="Times New Roman" w:cs="Times New Roman" w:ascii="Times New Roman" w:hAnsi="Times New Roman"/>
          <w:b/>
          <w:bCs/>
        </w:rPr>
        <w:t>R$ 0.000,00.</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primeiro. Como forma de facilitar o pagamento, o valor poderá ser quitado da seguinte maneira: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a) R$ 0.000,00 no ato da assinatura deste contrato;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b) R$ 0.000,00 no mês subsequente à contratação.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segundo. A forma de parcelamento prevista no parágrafo anterior constitui mera possibilidade de pagamento, podendo o</w:t>
      </w:r>
      <w:r>
        <w:rPr>
          <w:rFonts w:eastAsia="Times New Roman" w:cs="Times New Roman" w:ascii="Times New Roman" w:hAnsi="Times New Roman"/>
        </w:rPr>
        <w:t>(a)</w:t>
      </w:r>
      <w:r>
        <w:rPr>
          <w:rFonts w:eastAsia="Times New Roman" w:cs="Times New Roman" w:ascii="Times New Roman" w:hAnsi="Times New Roman"/>
        </w:rPr>
        <w:t xml:space="preserve"> CONTRATANTE optar pelo pagamento integral à vista, por entrada de valor superior ou por quitação em quantidade menor de parcelas, conforme sua conveniência.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terceiro. Os honorários de pró-labore remuneram a atuação técnica inicial e ordinária no caso, a análise documental, a elaboração da estratégia jurídica, a preparação defensiva, a atuação administrativa e a eventual atuação judicial compreendida no objeto deste contrato, sendo devidos independentemente do resultado final da sindicância ou do mandado de segurança eventualmente impetrado.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br/>
      </w:r>
    </w:p>
    <w:p>
      <w:pPr>
        <w:pStyle w:val="normal1"/>
        <w:spacing w:lineRule="auto" w:line="276" w:before="120" w:after="120"/>
        <w:rPr>
          <w:rFonts w:ascii="Times New Roman" w:hAnsi="Times New Roman" w:eastAsia="Times New Roman" w:cs="Times New Roman"/>
          <w:b/>
          <w:bCs/>
        </w:rPr>
      </w:pPr>
      <w:r>
        <w:rPr>
          <w:rFonts w:eastAsia="Times New Roman" w:cs="Times New Roman" w:ascii="Times New Roman" w:hAnsi="Times New Roman"/>
        </w:rPr>
        <w:t xml:space="preserve">Parágrafo quarto. O inadimplemento de qualquer parcela dos honorários de pró-labore autorizará os CONTRATADOS, após prévia comunicação ao </w:t>
      </w:r>
      <w:r>
        <w:rPr>
          <w:rFonts w:eastAsia="Times New Roman" w:cs="Times New Roman" w:ascii="Times New Roman" w:hAnsi="Times New Roman"/>
        </w:rPr>
        <w:t>(à)</w:t>
      </w:r>
      <w:r>
        <w:rPr>
          <w:rFonts w:eastAsia="Times New Roman" w:cs="Times New Roman" w:ascii="Times New Roman" w:hAnsi="Times New Roman"/>
        </w:rPr>
        <w:t xml:space="preserve"> CONTRATANTE, a suspender a prática de atos não urgentes até a regularização do pagamento, sem prejuízo da adoção das medidas indispensáveis à preservação de prazos em curso, quando tecnicamente necessário.</w:t>
        <w:br/>
        <w:br/>
      </w:r>
      <w:r>
        <w:rPr>
          <w:rFonts w:eastAsia="Times New Roman" w:cs="Times New Roman" w:ascii="Times New Roman" w:hAnsi="Times New Roman"/>
          <w:b/>
          <w:bCs/>
        </w:rPr>
        <w:t>CLÁUSULA TERCEIRA – DOS HONORÁRIOS DE ÊXITO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Além dos honorários de pró-labore previstos na cláusula anterior, o</w:t>
      </w:r>
      <w:r>
        <w:rPr>
          <w:rFonts w:eastAsia="Times New Roman" w:cs="Times New Roman" w:ascii="Times New Roman" w:hAnsi="Times New Roman"/>
        </w:rPr>
        <w:t>(a)</w:t>
      </w:r>
      <w:r>
        <w:rPr>
          <w:rFonts w:eastAsia="Times New Roman" w:cs="Times New Roman" w:ascii="Times New Roman" w:hAnsi="Times New Roman"/>
        </w:rPr>
        <w:t xml:space="preserve"> CONTRATANTE pagará aos CONTRATADOS honorários de êxito no valor de </w:t>
      </w:r>
      <w:r>
        <w:rPr>
          <w:rFonts w:eastAsia="Times New Roman" w:cs="Times New Roman" w:ascii="Times New Roman" w:hAnsi="Times New Roman"/>
          <w:b/>
          <w:bCs/>
        </w:rPr>
        <w:t>R$ 00.000,00</w:t>
      </w:r>
      <w:r>
        <w:rPr>
          <w:rFonts w:eastAsia="Times New Roman" w:cs="Times New Roman" w:ascii="Times New Roman" w:hAnsi="Times New Roman"/>
        </w:rPr>
        <w:t>, somente na hipótese de arquivamento definitivo da sindicância, seja por decisão administrativa ou judicial.</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 xml:space="preserve">Parágrafo primeiro. Para fins deste contrato, considera-se arquivamento definitivo todo ato, decisão, despacho, sentença, acórdão, reconsideração da autoridade, reconhecimento de nulidade, perda superveniente do objeto ou providência equivalente que encerre a sindicância sem aplicação de penalidade ao </w:t>
      </w:r>
      <w:r>
        <w:rPr>
          <w:rFonts w:eastAsia="Times New Roman" w:cs="Times New Roman" w:ascii="Times New Roman" w:hAnsi="Times New Roman"/>
        </w:rPr>
        <w:t>(à)</w:t>
      </w:r>
      <w:r>
        <w:rPr>
          <w:rFonts w:eastAsia="Times New Roman" w:cs="Times New Roman" w:ascii="Times New Roman" w:hAnsi="Times New Roman"/>
        </w:rPr>
        <w:t xml:space="preserve"> CONTRATANTE ou sem prosseguimento do procedimento contra ele.</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segundo. Os honorários de êxito serão devidos ainda que o arquivamento definitivo decorra de decisão administrativa, decisão judicial, medida liminar posteriormente confirmada, sentença, acórdão, reconsideração da autoridade administrativa, reconhecimento de ilegalidade, nulidade procedimental, perda superveniente do objeto ou qualquer outro ato que produza, na prática, o encerramento definitivo da sindicância.</w:t>
        <w:br/>
        <w:br/>
        <w:t>Parágrafo terceiro. Como forma de facilitar o pagamento dos honorários de êxito, o valor poderá ser quitado da seguinte maneira: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a) 30% do valor, correspondente a R$ 0.000,00, a título de entrada, no prazo de até 3 dias úteis contados da ciência do arquivamento definitivo;</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b) saldo remanescente de R$ 00.000,00, que poderá ser pago em até 4 parcelas mensais e consecutivas de R$ 0.000,00 cada, vencendo-se a primeira no mês subsequente ao pagamento da entrada.</w:t>
      </w:r>
    </w:p>
    <w:p>
      <w:pPr>
        <w:pStyle w:val="normal1"/>
        <w:spacing w:lineRule="auto" w:line="276" w:before="120" w:after="120"/>
        <w:rPr>
          <w:rFonts w:ascii="Times New Roman" w:hAnsi="Times New Roman" w:eastAsia="Times New Roman" w:cs="Times New Roman"/>
        </w:rPr>
      </w:pPr>
      <w:r>
        <w:rPr>
          <w:rFonts w:eastAsia="Times New Roman" w:cs="Times New Roman" w:ascii="Times New Roman" w:hAnsi="Times New Roman"/>
        </w:rPr>
        <w:t>Parágrafo quarto. A forma de parcelamento dos honorários de êxito constitui mera possibilidade de pagamento, podendo o</w:t>
      </w:r>
      <w:r>
        <w:rPr>
          <w:rFonts w:eastAsia="Times New Roman" w:cs="Times New Roman" w:ascii="Times New Roman" w:hAnsi="Times New Roman"/>
        </w:rPr>
        <w:t>(a)</w:t>
      </w:r>
      <w:r>
        <w:rPr>
          <w:rFonts w:eastAsia="Times New Roman" w:cs="Times New Roman" w:ascii="Times New Roman" w:hAnsi="Times New Roman"/>
        </w:rPr>
        <w:t xml:space="preserve"> CONTRATANTE optar pelo pagamento integral à vista, por entrada superior a 30% ou por quitação do saldo remanescente em quantidade menor de parcelas.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quinto. Caso o arquivamento definitivo ocorra após revogação do mandato, substituição dos CONTRATADOS, rescisão contratual imotivada pelo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ou contratação de outro profissional, mas decorra de trabalho técnico, tese, peça, requerimento, recurso, medida judicial ou atuação anteriormente desenvolvida pelos CONTRATADOS, os honorários de êxito permanecerão integralmente devidos.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br/>
        <w:br/>
        <w:br/>
        <w:br/>
        <w:br/>
      </w:r>
      <w:r>
        <w:rPr>
          <w:rFonts w:eastAsia="Times New Roman" w:cs="Times New Roman" w:ascii="Times New Roman" w:hAnsi="Times New Roman"/>
          <w:b/>
          <w:bCs/>
          <w:sz w:val="24"/>
          <w:szCs w:val="24"/>
        </w:rPr>
        <w:t>CLÁUSULA QUARTA – DAS EXCLUSÕES DE ESCOPO</w:t>
        <w:b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Não estão incluídos no presente contrato, salvo ajuste escrito específico: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 atuação perante Conselho Regional de Medicina, Ministério Público, corregedoria, autoridade policial ou esfera criminal, quando em procedimentos autônomos e distintos da sindicância objeto deste contrato;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b) propositura ou defesa em ações indenizatórias, trabalhistas, criminais, ético-profissionais ou quaisquer outros procedimentos autônomos;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c) cumprimento de decisão judicial que demande providências específicas não ordinárias;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d) sustentação oral;</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e) despesas com custas, taxas, diligências, deslocamentos, cópias, autenticações, emolumentos, pareceres técnicos, assistentes técnicos, perícias ou contratação de terceiros.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único. Qualquer atuação fora do escopo expressamente previsto na Cláusula Primeira dependerá de contratação específica, mediante ajuste próprio de honorários.</w:t>
        <w:br/>
        <w:br/>
      </w:r>
      <w:r>
        <w:rPr>
          <w:rFonts w:eastAsia="Times New Roman" w:cs="Times New Roman" w:ascii="Times New Roman" w:hAnsi="Times New Roman"/>
          <w:b/>
          <w:bCs/>
          <w:sz w:val="24"/>
          <w:szCs w:val="24"/>
        </w:rPr>
        <w:t>CLÁUSULA QUINTA – DAS DESPESAS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As despesas necessárias à execução dos serviços, tais como custas, taxas, emolumentos, cópias, autenticações, certidões, deslocamentos, diligências, protocolos, postagens, contratação de profissionais auxiliares, pareceres técnicos, assistentes técnicos ou outras despesas correlatas, não estão incluídas nos honorários advocatícios e serão de responsabilidade exclusiva do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Parágrafo primeiro. Sempre que possível, os CONTRATADOS comunicarão previamente ao </w:t>
      </w:r>
      <w:r>
        <w:rPr>
          <w:rFonts w:eastAsia="Times New Roman" w:cs="Times New Roman" w:ascii="Times New Roman" w:hAnsi="Times New Roman"/>
          <w:sz w:val="24"/>
          <w:szCs w:val="24"/>
        </w:rPr>
        <w:t>(à)</w:t>
      </w:r>
      <w:r>
        <w:rPr>
          <w:rFonts w:eastAsia="Times New Roman" w:cs="Times New Roman" w:ascii="Times New Roman" w:hAnsi="Times New Roman"/>
          <w:sz w:val="24"/>
          <w:szCs w:val="24"/>
        </w:rPr>
        <w:t xml:space="preserve"> CONTRATANTE a necessidade de realização de despesas extraordinárias.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segundo. Despesas urgentes e indispensáveis à preservação de direito, prazo ou medida processual poderão ser realizadas pelos CONTRATADOS, devendo 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promover o respectivo ressarcimento mediante apresentação de comprovante ou demonstrativo.</w:t>
        <w:br/>
        <w:br/>
      </w:r>
      <w:r>
        <w:rPr>
          <w:rFonts w:eastAsia="Times New Roman" w:cs="Times New Roman" w:ascii="Times New Roman" w:hAnsi="Times New Roman"/>
          <w:b/>
          <w:bCs/>
          <w:sz w:val="24"/>
          <w:szCs w:val="24"/>
        </w:rPr>
        <w:t>CLÁUSULA SEXTA – DAS OBRIGAÇÕES DO CONTRATANTE</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Constituem obrigações do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 fornecer aos CONTRATADOS todos os documentos, informações e esclarecimentos necessários à adequada condução da defesa;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b) comparecer às reuniões, audiências e demais atos para os quais for convocado;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c) informar imediatamente aos CONTRATADOS qualquer comunicação, intimação, notificação, decisão, despacho ou documento recebido relacionado ao objeto deste contrato;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d) efetuar o pagamento dos honorários e despesas na forma ajustada;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e) manter atualizados seus dados de contato, incluindo telefone, e-mail e endereço;</w:t>
        <w:br/>
        <w:t>f) abster-se de praticar atos, prestar declarações ou apresentar documentos no procedimento sem prévia orientação dos CONTRATADOS, sempre que possível.</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único. Os CONTRATADOS não se responsabilizam por prejuízos decorrentes da omissão, atraso, inexatidão ou incompletude de informações e documentos fornecidos pelo CONTRATANTE.</w:t>
        <w:br/>
        <w:br/>
      </w:r>
      <w:r>
        <w:rPr>
          <w:rFonts w:eastAsia="Times New Roman" w:cs="Times New Roman" w:ascii="Times New Roman" w:hAnsi="Times New Roman"/>
          <w:b/>
          <w:bCs/>
          <w:sz w:val="24"/>
          <w:szCs w:val="24"/>
        </w:rPr>
        <w:t>CLÁUSULA SÉTIMA – DAS OBRIGAÇÕES DOS CONTRATADOS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Constituem obrigações dos CONTRATADOS: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 atuar com zelo, diligência, independência técnica e observância das normas éticas da advocacia;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b) analisar os documentos e informações disponibilizados pelo CONTRATANTE;</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c) elaborar as peças administrativas e judiciais cabíveis dentro do escopo contratado;</w:t>
        <w:br/>
        <w:t>d) acompanhar os atos relacionados à sindicância e às medidas judiciais eventualmente adotadas, nos limites deste contrato;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 prestar informações ao </w:t>
      </w:r>
      <w:r>
        <w:rPr>
          <w:rFonts w:eastAsia="Times New Roman" w:cs="Times New Roman" w:ascii="Times New Roman" w:hAnsi="Times New Roman"/>
          <w:sz w:val="24"/>
          <w:szCs w:val="24"/>
        </w:rPr>
        <w:t xml:space="preserve">(à) </w:t>
      </w:r>
      <w:r>
        <w:rPr>
          <w:rFonts w:eastAsia="Times New Roman" w:cs="Times New Roman" w:ascii="Times New Roman" w:hAnsi="Times New Roman"/>
          <w:sz w:val="24"/>
          <w:szCs w:val="24"/>
        </w:rPr>
        <w:t>CONTRATANTE sobre o andamento do caso, sempre que houver movimentação relevante ou quando solicitado de forma razoável;</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f) manter sigilo profissional sobre as informações recebidas em razão da contratação.</w:t>
        <w:br/>
        <w:br/>
        <w:t>Parágrafo único. A obrigação dos CONTRATADOS é de meio, e não de resultado, inexistindo garantia de arquivamento, concessão de liminar, absolvição, anulação de atos ou qualquer outro resultado específico.</w:t>
        <w:br/>
        <w:br/>
      </w:r>
      <w:r>
        <w:rPr>
          <w:rFonts w:eastAsia="Times New Roman" w:cs="Times New Roman" w:ascii="Times New Roman" w:hAnsi="Times New Roman"/>
          <w:b/>
          <w:bCs/>
          <w:sz w:val="24"/>
          <w:szCs w:val="24"/>
        </w:rPr>
        <w:t>CLÁUSULA OITAVA – DA AUTONOMIA TÉCNICA E DA ESTRATÉGIA DEFENSIVA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Os CONTRATADOS exercerão a advocacia com plena autonomia técnica, podendo adotar as providências que entenderem juridicamente adequadas à defesa dos interesses do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inclusive quanto à conveniência, oportunidade e viabilidade de impetração de mandado de segurança, formulação de requerimentos, apresentação de defesas, interposição de recursos e adoção de demais medidas compreendidas no objeto deste contrato.</w:t>
        <w:br/>
        <w:br/>
        <w:br/>
        <w:t>Parágrafo único. A eventual impetração de mandado de segurança, bem como a formulação de pedidos liminares ou recursos, dependerá de avaliação técnica dos CONTRATADOS acerca da existência de fundamentos jurídicos suficientes e documentos aptos à demonstração do direito alegado.</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CLÁUSULA NONA – DA REVOGAÇÃO, RENÚNCIA OU RESCISÃO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O presente contrato poderá ser rescindido por qualquer das partes, mediante comunicação escrita.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primeiro. Em caso de rescisão por iniciativa do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revogação do mandato ou contratação de outro profissional, permanecerão devidos os honorários de pró-labore vencidos e vincendos, bem como os honorários proporcionais aos atos já praticados, sem prejuízo dos honorários de êxito, caso o resultado útil venha a decorrer, ainda que posteriormente, de trabalho desenvolvido pelos CONTRATADOS.</w:t>
        <w:br/>
        <w:br/>
        <w:t>Parágrafo segundo. Em caso de renúncia ao mandato pelos CONTRATADOS, serão observadas as regras legais e éticas aplicáveis, especialmente quanto à comunicação ao CONTRATANTE e à preservação de prazos processuais ou administrativos pelo prazo legal, quando cabível.</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terceiro. A rescisão não afasta a obrigação de pagamento de despesas já realizadas ou autorizadas pelo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w:t>
        <w:br/>
        <w:br/>
      </w:r>
      <w:r>
        <w:rPr>
          <w:rFonts w:eastAsia="Times New Roman" w:cs="Times New Roman" w:ascii="Times New Roman" w:hAnsi="Times New Roman"/>
          <w:b/>
          <w:bCs/>
          <w:sz w:val="24"/>
          <w:szCs w:val="24"/>
        </w:rPr>
        <w:t>CLÁUSULA DÉCIMA – DOS HONORÁRIOS SUCUMBENCIAIS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Eventuais honorários sucumbenciais, assistenciais, arbitrados judicialmente ou fixados em favor dos CONTRATADOS em qualquer processo judicial relacionado ao objeto deste contrato pertencerão exclusivamente aos CONTRATADOS, não se confundindo com os honorários contratuais ora ajustados.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único. Os honorários contratuais previstos neste instrumento são independentes de eventual verba honorária fixada judicialmente ou administrativamente em favor dos CONTRATADOS.</w:t>
        <w:br/>
        <w:br/>
      </w:r>
      <w:r>
        <w:rPr>
          <w:rFonts w:eastAsia="Times New Roman" w:cs="Times New Roman" w:ascii="Times New Roman" w:hAnsi="Times New Roman"/>
          <w:b/>
          <w:bCs/>
          <w:sz w:val="24"/>
          <w:szCs w:val="24"/>
        </w:rPr>
        <w:t>CLÁUSULA DÉCIMA PRIMEIRA – DA INADIMPLÊNCIA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O atraso no pagamento de quaisquer valores devidos nos termos deste contrato sujeitará o CONTRATANTE ao pagamento de multa moratória de 2% sobre o valor em atraso, acrescida de juros de mora de 1% ao mês, calculados pro rata die, e correção monetária pelo índice legalmente aplicável, sem prejuízo da cobrança de perdas e danos, se houver.</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único. Os honorários advocatícios previstos neste contrato constituem obrigação líquida, certa e exigível, podendo o presente instrumento ser utilizado como título executivo extrajudicial, na forma da legislação aplicável.</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CLÁUSULA DÉCIMA SEGUNDA – DA COMUNICAÇÃO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As comunicações entre as partes poderão ocorrer por meio físico ou eletrônico, inclusive por e-mail, aplicativo de mensagens ou outro meio usualmente utilizado entre as partes, desde que seja possível identificar o remetente e o conteúdo da comunicação.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único. 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obriga-se a comunicar imediatamente eventual alteração de endereço, telefone, e-mail ou qualquer outro canal de contato informado aos CONTRATADOS.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CLÁUSULA DÉCIMA TERCEIRA – DA PROTEÇÃO DE DADOS E SIGILO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As partes comprometem-se a observar o dever de sigilo profissional e a legislação aplicável à proteção de dados pessoais, especialmente quanto às informações, documentos e dados sensíveis tratados em razão da presente contratação.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primeiro. 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autoriza os CONTRATADOS a utilizar seus dados pessoais e documentos exclusivamente para a execução dos serviços advocatícios contratados, prática de atos administrativos e judiciais, cumprimento de obrigações legais, exercício regular de direitos e defesa de seus interesses.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Parágrafo segundo. Os CONTRATADOS manterão sigilo sobre as informações recebidas, ressalvadas as hipóteses em que a revelação seja necessária à defesa dos interesses do</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CONTRATANTE, ao cumprimento de obrigação legal ou ao exercício regular da advocacia.</w:t>
        <w:br/>
        <w:br/>
      </w:r>
      <w:r>
        <w:rPr>
          <w:rFonts w:eastAsia="Times New Roman" w:cs="Times New Roman" w:ascii="Times New Roman" w:hAnsi="Times New Roman"/>
          <w:b/>
          <w:bCs/>
          <w:sz w:val="24"/>
          <w:szCs w:val="24"/>
        </w:rPr>
        <w:t>CLÁUSULA DÉCIMA QUARTA – DA VALIDADE DA PROPOSTA E ACEITAÇÃO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presente contrato decorre da proposta de honorários apresentada em condição especial ao </w:t>
      </w:r>
      <w:r>
        <w:rPr>
          <w:rFonts w:eastAsia="Times New Roman" w:cs="Times New Roman" w:ascii="Times New Roman" w:hAnsi="Times New Roman"/>
          <w:sz w:val="24"/>
          <w:szCs w:val="24"/>
        </w:rPr>
        <w:t>(à)</w:t>
      </w:r>
      <w:r>
        <w:rPr>
          <w:rFonts w:eastAsia="Times New Roman" w:cs="Times New Roman" w:ascii="Times New Roman" w:hAnsi="Times New Roman"/>
          <w:sz w:val="24"/>
          <w:szCs w:val="24"/>
        </w:rPr>
        <w:t xml:space="preserve"> CONTRATANTE, considerando a relação profissional já existente entre as partes.</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Parágrafo único. A assinatura deste instrumento importa aceitação integral das condições contratuais, de escopo, honorários, despesas, exclusões e forma de pagamento aqui estabelecidas.</w:t>
      </w:r>
    </w:p>
    <w:p>
      <w:pPr>
        <w:pStyle w:val="normal1"/>
        <w:spacing w:lineRule="auto" w:line="276" w:before="120" w:after="120"/>
        <w:rPr>
          <w:rFonts w:ascii="Times New Roman" w:hAnsi="Times New Roman" w:eastAsia="Times New Roman" w:cs="Times New Roman"/>
          <w:b/>
          <w:bCs/>
          <w:sz w:val="24"/>
          <w:szCs w:val="24"/>
        </w:rPr>
      </w:pPr>
      <w:r>
        <w:rPr>
          <w:rFonts w:eastAsia="Times New Roman" w:cs="Times New Roman" w:ascii="Times New Roman" w:hAnsi="Times New Roman"/>
          <w:sz w:val="24"/>
          <w:szCs w:val="24"/>
        </w:rPr>
        <w:br/>
        <w:br/>
        <w:br/>
        <w:br/>
      </w:r>
      <w:r>
        <w:rPr>
          <w:rFonts w:eastAsia="Times New Roman" w:cs="Times New Roman" w:ascii="Times New Roman" w:hAnsi="Times New Roman"/>
          <w:b/>
          <w:bCs/>
          <w:sz w:val="24"/>
          <w:szCs w:val="24"/>
        </w:rPr>
        <w:t>CLÁUSULA DÉCIMA QUINTA – DO FORO</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As partes elegem o foro da Comarca de Campo Grande/MS para dirimir quaisquer dúvidas ou controvérsias decorrentes deste contrato, com renúncia expressa a qualquer outro, por mais privilegiado que seja.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E, por estarem justas e contratadas, as partes assinam o presente instrumento em duas vias de igual teor e forma, juntamente com duas testemunhas.</w:t>
        <w:b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76" w:before="120" w:after="1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Campo Grande/MS, </w:t>
      </w:r>
      <w:r>
        <w:rPr/>
        <w:t>[Data de emissão do contrato]</w:t>
      </w:r>
      <w:r>
        <w:rPr>
          <w:rFonts w:eastAsia="Times New Roman" w:cs="Times New Roman" w:ascii="Times New Roman" w:hAnsi="Times New Roman"/>
          <w:i/>
          <w:iCs/>
          <w:sz w:val="24"/>
          <w:szCs w:val="24"/>
        </w:rPr>
        <w:t>.</w:t>
        <w:br/>
        <w:br/>
        <w:br/>
        <w:br/>
        <w:t>_________</w:t>
      </w:r>
      <w:r>
        <w:rPr>
          <w:rFonts w:eastAsia="Times New Roman" w:cs="Times New Roman" w:ascii="Times New Roman" w:hAnsi="Times New Roman"/>
          <w:sz w:val="24"/>
          <w:szCs w:val="24"/>
        </w:rPr>
        <w:t>__________________________________________</w:t>
      </w:r>
      <w:r>
        <w:rPr>
          <w:rFonts w:eastAsia="Times New Roman" w:cs="Times New Roman" w:ascii="Times New Roman" w:hAnsi="Times New Roman"/>
          <w:i/>
          <w:iCs/>
          <w:sz w:val="24"/>
          <w:szCs w:val="24"/>
        </w:rPr>
        <w:br/>
      </w:r>
      <w:r>
        <w:rPr/>
        <w:t>[NOME]</w:t>
      </w:r>
    </w:p>
    <w:p>
      <w:pPr>
        <w:pStyle w:val="normal1"/>
        <w:spacing w:lineRule="auto" w:line="276" w:before="120" w:after="120"/>
        <w:jc w:val="center"/>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 xml:space="preserve"> </w:t>
      </w:r>
      <w:r>
        <w:rPr>
          <w:rFonts w:eastAsia="Times New Roman" w:cs="Times New Roman" w:ascii="Times New Roman" w:hAnsi="Times New Roman"/>
          <w:i/>
          <w:iCs/>
          <w:sz w:val="24"/>
          <w:szCs w:val="24"/>
        </w:rPr>
        <w:br/>
        <w:br/>
      </w:r>
    </w:p>
    <w:p>
      <w:pPr>
        <w:pStyle w:val="normal1"/>
        <w:spacing w:lineRule="auto" w:line="276" w:before="120" w:after="120"/>
        <w:jc w:val="center"/>
        <w:rPr>
          <w:rFonts w:ascii="Times New Roman" w:hAnsi="Times New Roman" w:eastAsia="Times New Roman" w:cs="Times New Roman"/>
          <w:i/>
          <w:iCs/>
          <w:sz w:val="24"/>
          <w:szCs w:val="24"/>
        </w:rPr>
      </w:pPr>
      <w:r>
        <w:rPr>
          <w:rFonts w:eastAsia="Times New Roman" w:cs="Times New Roman" w:ascii="Times New Roman" w:hAnsi="Times New Roman"/>
          <w:i/>
          <w:iCs/>
          <w:sz w:val="24"/>
          <w:szCs w:val="24"/>
        </w:rPr>
        <w:t xml:space="preserve">____________________________________________________________ </w:t>
      </w:r>
    </w:p>
    <w:p>
      <w:pPr>
        <w:pStyle w:val="normal1"/>
        <w:spacing w:lineRule="auto" w:line="276" w:before="120" w:after="1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CÁSSIO MIGUEL DE OLIVEIRA CAVALCANTE</w:t>
        <w:br/>
        <w:br/>
        <w:br/>
      </w:r>
    </w:p>
    <w:p>
      <w:pPr>
        <w:pStyle w:val="normal1"/>
        <w:spacing w:lineRule="auto" w:line="276" w:before="120" w:after="1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__________________________________________________________________ </w:t>
      </w:r>
    </w:p>
    <w:p>
      <w:pPr>
        <w:pStyle w:val="normal1"/>
        <w:spacing w:lineRule="auto" w:line="276" w:before="120" w:after="1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CÁSSIO MIGUEL SOCIEDADE INDIVIDUAL DE ADVOCACIA</w:t>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76" w:before="12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701" w:gutter="0" w:header="709" w:top="2835" w:footer="709"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rial Black">
    <w:charset w:val="01" w:characterSet="utf-8"/>
    <w:family w:val="roman"/>
    <w:pitch w:val="variable"/>
    <w:embedRegular r:id="rId1" w:fontKey="{01014A78-CABC-4EF0-12AC-5CD89AEFDE01}"/>
    <w:embedBold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10" behindDoc="1" locked="0" layoutInCell="1" allowOverlap="1">
          <wp:simplePos x="0" y="0"/>
          <wp:positionH relativeFrom="column">
            <wp:posOffset>-723900</wp:posOffset>
          </wp:positionH>
          <wp:positionV relativeFrom="paragraph">
            <wp:posOffset>-447675</wp:posOffset>
          </wp:positionV>
          <wp:extent cx="7580630" cy="10720705"/>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1"/>
                  <a:srcRect l="10" t="0" r="10" b="0"/>
                  <a:stretch>
                    <a:fillRect/>
                  </a:stretch>
                </pic:blipFill>
                <pic:spPr bwMode="auto">
                  <a:xfrm>
                    <a:off x="0" y="0"/>
                    <a:ext cx="7580630" cy="107207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252" w:leader="none"/>
        <w:tab w:val="right" w:pos="8504"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10" behindDoc="1" locked="0" layoutInCell="1" allowOverlap="1">
          <wp:simplePos x="0" y="0"/>
          <wp:positionH relativeFrom="column">
            <wp:posOffset>-723900</wp:posOffset>
          </wp:positionH>
          <wp:positionV relativeFrom="paragraph">
            <wp:posOffset>-447675</wp:posOffset>
          </wp:positionV>
          <wp:extent cx="7580630" cy="10720705"/>
          <wp:effectExtent l="0" t="0" r="0" b="0"/>
          <wp:wrapNone/>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pic:cNvPicPr>
                    <a:picLocks noChangeAspect="1" noChangeArrowheads="1"/>
                  </pic:cNvPicPr>
                </pic:nvPicPr>
                <pic:blipFill>
                  <a:blip r:embed="rId1"/>
                  <a:srcRect l="10" t="0" r="10" b="0"/>
                  <a:stretch>
                    <a:fillRect/>
                  </a:stretch>
                </pic:blipFill>
                <pic:spPr bwMode="auto">
                  <a:xfrm>
                    <a:off x="0" y="0"/>
                    <a:ext cx="7580630" cy="10720705"/>
                  </a:xfrm>
                  <a:prstGeom prst="rect">
                    <a:avLst/>
                  </a:prstGeom>
                  <a:noFill/>
                </pic:spPr>
              </pic:pic>
            </a:graphicData>
          </a:graphic>
        </wp:anchor>
      </w:drawing>
    </w:r>
  </w:p>
</w:hdr>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360" w:after="80"/>
    </w:pPr>
    <w:rPr>
      <w:rFonts w:ascii="Calibri" w:hAnsi="Calibri" w:eastAsia="Calibri" w:cs="Calibri"/>
      <w:color w:val="2F5496"/>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spacing w:lineRule="auto" w:line="240" w:before="0" w:after="80"/>
    </w:pPr>
    <w:rPr>
      <w:rFonts w:ascii="Calibri" w:hAnsi="Calibri" w:eastAsia="Calibri" w:cs="Calibri"/>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kCSWEVvPXsQJJ9fTC7RnAJcLH/Q==">CgMxLjA4AHIhMUtvcDFSMXVNMzNjZHk1Z0lLRl82MU84UmZrUWNZSDlh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10</TotalTime>
  <Application>LibreOffice/26.2.5.2$Linux_X86_64 LibreOffice_project/620$Build-2</Application>
  <AppVersion>15.0000</AppVersion>
  <Pages>9</Pages>
  <Words>2128</Words>
  <Characters>13793</Characters>
  <CharactersWithSpaces>15925</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2026-09-01T10:47:06Z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