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85DC9" w14:textId="420C7E09" w:rsidR="007A01BC" w:rsidRPr="007A01BC" w:rsidRDefault="007A01BC">
      <w:pPr>
        <w:rPr>
          <w:b/>
        </w:rPr>
      </w:pPr>
      <w:r w:rsidRPr="007A01BC">
        <w:rPr>
          <w:b/>
        </w:rPr>
        <w:t xml:space="preserve">Report on the consequences of different design choices of the Bovine TB VIVA trial </w:t>
      </w:r>
    </w:p>
    <w:p w14:paraId="389D6C56" w14:textId="77777777" w:rsidR="00F17C47" w:rsidRDefault="00F17C47"/>
    <w:p w14:paraId="12DDA817" w14:textId="22683840" w:rsidR="007A01BC" w:rsidRPr="007A01BC" w:rsidRDefault="007A01BC">
      <w:pPr>
        <w:rPr>
          <w:b/>
        </w:rPr>
      </w:pPr>
      <w:r w:rsidRPr="007A01BC">
        <w:rPr>
          <w:b/>
        </w:rPr>
        <w:t>Introduction</w:t>
      </w:r>
    </w:p>
    <w:p w14:paraId="5C862C8E" w14:textId="77777777" w:rsidR="007A01BC" w:rsidRDefault="007A01BC"/>
    <w:p w14:paraId="72AC1F0F" w14:textId="39F44D64" w:rsidR="00C25ED2" w:rsidRDefault="00C25ED2">
      <w:r>
        <w:t xml:space="preserve">Bovine Tuberculosis is an </w:t>
      </w:r>
      <w:proofErr w:type="spellStart"/>
      <w:r>
        <w:t>endemc</w:t>
      </w:r>
      <w:proofErr w:type="spellEnd"/>
      <w:r>
        <w:t xml:space="preserve"> disease in the </w:t>
      </w:r>
      <w:proofErr w:type="spellStart"/>
      <w:r>
        <w:t>Uk</w:t>
      </w:r>
      <w:proofErr w:type="spellEnd"/>
      <w:r>
        <w:t>, causing</w:t>
      </w:r>
      <w:proofErr w:type="gramStart"/>
      <w:r>
        <w:t>..</w:t>
      </w:r>
      <w:proofErr w:type="gramEnd"/>
    </w:p>
    <w:p w14:paraId="1E262F61" w14:textId="77777777" w:rsidR="00C25ED2" w:rsidRDefault="00C25ED2"/>
    <w:p w14:paraId="6C49D529" w14:textId="329BDCBC" w:rsidR="00C25ED2" w:rsidRDefault="00C25ED2">
      <w:r>
        <w:t xml:space="preserve">Currently, the surveillance relies on a so-called Skin </w:t>
      </w:r>
      <w:proofErr w:type="gramStart"/>
      <w:r>
        <w:t>test,….</w:t>
      </w:r>
      <w:proofErr w:type="gramEnd"/>
    </w:p>
    <w:p w14:paraId="2CA0DF1B" w14:textId="011F0099" w:rsidR="00C25ED2" w:rsidRDefault="00C25ED2">
      <w:r>
        <w:t xml:space="preserve">This means that vaccination </w:t>
      </w:r>
      <w:proofErr w:type="gramStart"/>
      <w:r>
        <w:t>can not</w:t>
      </w:r>
      <w:proofErr w:type="gramEnd"/>
      <w:r>
        <w:t xml:space="preserve"> be implemented</w:t>
      </w:r>
    </w:p>
    <w:p w14:paraId="206FEE8B" w14:textId="77777777" w:rsidR="00C25ED2" w:rsidRDefault="00C25ED2"/>
    <w:p w14:paraId="1D66A69B" w14:textId="62A98218" w:rsidR="00C25ED2" w:rsidRDefault="00C25ED2">
      <w:r>
        <w:t>Recently, new DIVA tests have become available, that are able to…</w:t>
      </w:r>
    </w:p>
    <w:p w14:paraId="70C37C9A" w14:textId="77777777" w:rsidR="00C25ED2" w:rsidRDefault="00C25ED2"/>
    <w:p w14:paraId="601A785E" w14:textId="7BCFDB54" w:rsidR="00C25ED2" w:rsidRDefault="00C25ED2">
      <w:r>
        <w:t xml:space="preserve">These have only been evaluated in controlled conditions, necessitating a trial in realistic field conditions. This paper describes the effect that design choices, test </w:t>
      </w:r>
      <w:proofErr w:type="spellStart"/>
      <w:r>
        <w:t>charactreristics</w:t>
      </w:r>
      <w:proofErr w:type="spellEnd"/>
      <w:r>
        <w:t xml:space="preserve">, </w:t>
      </w:r>
    </w:p>
    <w:p w14:paraId="72888E81" w14:textId="77777777" w:rsidR="00C25ED2" w:rsidRDefault="00C25ED2"/>
    <w:p w14:paraId="701E1814" w14:textId="77777777" w:rsidR="00C25ED2" w:rsidRDefault="00C25ED2"/>
    <w:p w14:paraId="0949F13C" w14:textId="7A744818" w:rsidR="00C25ED2" w:rsidRDefault="00C25ED2">
      <w:r>
        <w:t xml:space="preserve">Modelling have indicated that a </w:t>
      </w:r>
      <w:proofErr w:type="gramStart"/>
      <w:r>
        <w:t>DIVA  test</w:t>
      </w:r>
      <w:proofErr w:type="gramEnd"/>
      <w:r>
        <w:t xml:space="preserve"> would need to reach 99.85% specificity. The SICCT test have a reported specificity </w:t>
      </w:r>
      <w:proofErr w:type="gramStart"/>
      <w:r>
        <w:t>of ….</w:t>
      </w:r>
      <w:proofErr w:type="gramEnd"/>
    </w:p>
    <w:p w14:paraId="64BB2481" w14:textId="77777777" w:rsidR="00C25ED2" w:rsidRDefault="00C25ED2"/>
    <w:p w14:paraId="40AF2583" w14:textId="59FB85AE" w:rsidR="00CF189B" w:rsidRDefault="00C25ED2">
      <w:r>
        <w:t>When evaluating a diagnostic test, the ideal way would be to use a Gold Standard test; a test that…</w:t>
      </w:r>
    </w:p>
    <w:p w14:paraId="21445A73" w14:textId="252AA2A5" w:rsidR="00C25ED2" w:rsidRDefault="00C25ED2">
      <w:r>
        <w:t xml:space="preserve">Unfortunately, in the BTB case, such a </w:t>
      </w:r>
    </w:p>
    <w:p w14:paraId="564EB961" w14:textId="77777777" w:rsidR="00C25ED2" w:rsidRDefault="00C25ED2"/>
    <w:p w14:paraId="6FAE56B3" w14:textId="0BA900B8" w:rsidR="00C25ED2" w:rsidRDefault="00407055">
      <w:r>
        <w:t>Instead</w:t>
      </w:r>
      <w:proofErr w:type="gramStart"/>
      <w:r>
        <w:t>,  this</w:t>
      </w:r>
      <w:proofErr w:type="gramEnd"/>
      <w:r>
        <w:t xml:space="preserve"> paper relies on a latent class  analysis, following the approach pioneered by </w:t>
      </w:r>
      <w:proofErr w:type="spellStart"/>
      <w:r>
        <w:t>Hui</w:t>
      </w:r>
      <w:proofErr w:type="spellEnd"/>
      <w:r>
        <w:t xml:space="preserve"> Walter in …..</w:t>
      </w:r>
    </w:p>
    <w:p w14:paraId="0ACD93BA" w14:textId="77777777" w:rsidR="00407055" w:rsidRDefault="00407055"/>
    <w:p w14:paraId="6D8D4485" w14:textId="152F2329" w:rsidR="00407055" w:rsidRDefault="00407055">
      <w:proofErr w:type="spellStart"/>
      <w:r>
        <w:t>NIels</w:t>
      </w:r>
      <w:proofErr w:type="spellEnd"/>
      <w:r>
        <w:t xml:space="preserve"> </w:t>
      </w:r>
      <w:proofErr w:type="spellStart"/>
      <w:r>
        <w:t>Tofte</w:t>
      </w:r>
      <w:proofErr w:type="spellEnd"/>
      <w:r>
        <w:t xml:space="preserve"> </w:t>
      </w:r>
      <w:proofErr w:type="gramStart"/>
      <w:r>
        <w:t>have</w:t>
      </w:r>
      <w:proofErr w:type="gramEnd"/>
      <w:r>
        <w:t xml:space="preserve"> shown that….</w:t>
      </w:r>
    </w:p>
    <w:p w14:paraId="1C75987B" w14:textId="77777777" w:rsidR="00C25ED2" w:rsidRDefault="00C25ED2"/>
    <w:p w14:paraId="66677774" w14:textId="77777777" w:rsidR="00C25ED2" w:rsidRDefault="00C25ED2"/>
    <w:p w14:paraId="1A3EE5FD" w14:textId="2B21F64E" w:rsidR="00CF189B" w:rsidRPr="00CF189B" w:rsidRDefault="00CF189B">
      <w:pPr>
        <w:rPr>
          <w:b/>
        </w:rPr>
      </w:pPr>
      <w:r>
        <w:rPr>
          <w:b/>
        </w:rPr>
        <w:t>M</w:t>
      </w:r>
      <w:r w:rsidRPr="00CF189B">
        <w:rPr>
          <w:b/>
        </w:rPr>
        <w:t>ethods</w:t>
      </w:r>
    </w:p>
    <w:p w14:paraId="7A09D4C0" w14:textId="77777777" w:rsidR="00CF189B" w:rsidRDefault="00CF189B"/>
    <w:p w14:paraId="5A0047DA" w14:textId="0ECAFA2A" w:rsidR="004B23E4" w:rsidRDefault="00CF189B">
      <w:pPr>
        <w:rPr>
          <w:b/>
        </w:rPr>
      </w:pPr>
      <w:r>
        <w:rPr>
          <w:b/>
        </w:rPr>
        <w:t xml:space="preserve">Data used </w:t>
      </w:r>
      <w:r w:rsidR="004B23E4" w:rsidRPr="004B23E4">
        <w:rPr>
          <w:b/>
        </w:rPr>
        <w:t xml:space="preserve"> </w:t>
      </w:r>
    </w:p>
    <w:p w14:paraId="0D04F550" w14:textId="77777777" w:rsidR="00DA45EE" w:rsidRDefault="00DA45EE">
      <w:pPr>
        <w:rPr>
          <w:b/>
        </w:rPr>
      </w:pPr>
    </w:p>
    <w:p w14:paraId="4877DE65" w14:textId="77777777" w:rsidR="00DA45EE" w:rsidRDefault="00DA45EE" w:rsidP="00DA45EE">
      <w:r>
        <w:t xml:space="preserve">-Three tests: 1,2,3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d>
              <m:dPr>
                <m:begChr m:val="{"/>
                <m:endChr m:val="}"/>
                <m:ctrlPr>
                  <w:rPr>
                    <w:rFonts w:ascii="Cambria Math" w:hAnsi="Cambria Math"/>
                    <w:i/>
                  </w:rPr>
                </m:ctrlPr>
              </m:dPr>
              <m:e>
                <m:r>
                  <w:rPr>
                    <w:rFonts w:ascii="Cambria Math" w:hAnsi="Cambria Math"/>
                  </w:rPr>
                  <m:t>i</m:t>
                </m:r>
                <m:r>
                  <w:rPr>
                    <w:rFonts w:ascii="Cambria Math" w:hAnsi="Cambria Math" w:hint="eastAsia"/>
                  </w:rPr>
                  <m:t>∈</m:t>
                </m:r>
                <m:r>
                  <w:rPr>
                    <w:rFonts w:ascii="Cambria Math" w:hAnsi="Cambria Math"/>
                  </w:rPr>
                  <m:t>1:3</m:t>
                </m:r>
              </m:e>
            </m:d>
          </m:sub>
        </m:sSub>
      </m:oMath>
    </w:p>
    <w:p w14:paraId="399B9319" w14:textId="77777777" w:rsidR="00DA45EE" w:rsidRDefault="00DA45EE" w:rsidP="00DA45EE">
      <w:r>
        <w:t>-Two populations: A</w:t>
      </w:r>
      <w:proofErr w:type="gramStart"/>
      <w:r>
        <w:t>,B</w:t>
      </w:r>
      <w:proofErr w:type="gramEnd"/>
    </w:p>
    <w:p w14:paraId="2066E7B9" w14:textId="77777777" w:rsidR="00DA45EE" w:rsidRDefault="00DA45EE" w:rsidP="00DA45EE">
      <w:r>
        <w:t>-</w:t>
      </w:r>
      <w:proofErr w:type="gramStart"/>
      <w:r>
        <w:t>Two  vaccine</w:t>
      </w:r>
      <w:proofErr w:type="gramEnd"/>
      <w:r>
        <w:t xml:space="preserve"> statuses: +,-</w:t>
      </w:r>
    </w:p>
    <w:p w14:paraId="1243A75A" w14:textId="77777777" w:rsidR="00DA45EE" w:rsidRPr="004B23E4" w:rsidRDefault="00DA45EE">
      <w:pPr>
        <w:rPr>
          <w:b/>
        </w:rPr>
      </w:pPr>
    </w:p>
    <w:p w14:paraId="7949F64E" w14:textId="77777777" w:rsidR="004B23E4" w:rsidRDefault="004B23E4"/>
    <w:p w14:paraId="19435A3A" w14:textId="77777777" w:rsidR="004B23E4" w:rsidRDefault="004B23E4" w:rsidP="004B23E4">
      <w:r>
        <w:t xml:space="preserve">-Sensitivity for each test, under positive and negative vaccination (reference for why this is needed?)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ij</m:t>
                    </m:r>
                  </m:sub>
                </m:sSub>
              </m:e>
            </m:d>
          </m:e>
          <m:sub>
            <m:d>
              <m:dPr>
                <m:begChr m:val="{"/>
                <m:endChr m:val="}"/>
                <m:ctrlPr>
                  <w:rPr>
                    <w:rFonts w:ascii="Cambria Math" w:hAnsi="Cambria Math"/>
                    <w:i/>
                  </w:rPr>
                </m:ctrlPr>
              </m:dPr>
              <m:e>
                <m:r>
                  <w:rPr>
                    <w:rFonts w:ascii="Cambria Math" w:hAnsi="Cambria Math"/>
                  </w:rPr>
                  <m:t>i</m:t>
                </m:r>
                <m:r>
                  <w:rPr>
                    <w:rFonts w:ascii="Cambria Math" w:hAnsi="Cambria Math" w:hint="eastAsia"/>
                  </w:rPr>
                  <m:t>∈</m:t>
                </m:r>
                <m:r>
                  <w:rPr>
                    <w:rFonts w:ascii="Cambria Math" w:hAnsi="Cambria Math"/>
                  </w:rPr>
                  <m:t>1:3,j</m:t>
                </m:r>
                <m:r>
                  <w:rPr>
                    <w:rFonts w:ascii="Cambria Math" w:hAnsi="Cambria Math" w:hint="eastAsia"/>
                  </w:rPr>
                  <m:t>∈</m:t>
                </m:r>
                <m:r>
                  <w:rPr>
                    <w:rFonts w:ascii="Cambria Math" w:hAnsi="Cambria Math"/>
                  </w:rPr>
                  <m:t xml:space="preserve">+,- </m:t>
                </m:r>
              </m:e>
            </m:d>
          </m:sub>
        </m:sSub>
      </m:oMath>
      <w:r>
        <w:t xml:space="preserve"> (unknown, latent).</w:t>
      </w:r>
    </w:p>
    <w:p w14:paraId="47E928C1" w14:textId="77777777" w:rsidR="004B23E4" w:rsidRDefault="004B23E4" w:rsidP="004B23E4"/>
    <w:p w14:paraId="56CD4B1B" w14:textId="77777777" w:rsidR="004B23E4" w:rsidRDefault="004B23E4" w:rsidP="004B23E4">
      <w:r>
        <w:t xml:space="preserve">-Specificity for each test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ij</m:t>
                    </m:r>
                  </m:sub>
                </m:sSub>
              </m:e>
            </m:d>
          </m:e>
          <m:sub>
            <m:d>
              <m:dPr>
                <m:begChr m:val="{"/>
                <m:endChr m:val="}"/>
                <m:ctrlPr>
                  <w:rPr>
                    <w:rFonts w:ascii="Cambria Math" w:hAnsi="Cambria Math"/>
                    <w:i/>
                  </w:rPr>
                </m:ctrlPr>
              </m:dPr>
              <m:e>
                <m:r>
                  <w:rPr>
                    <w:rFonts w:ascii="Cambria Math" w:hAnsi="Cambria Math"/>
                  </w:rPr>
                  <m:t>i</m:t>
                </m:r>
                <m:r>
                  <w:rPr>
                    <w:rFonts w:ascii="Cambria Math" w:hAnsi="Cambria Math" w:hint="eastAsia"/>
                  </w:rPr>
                  <m:t>∈</m:t>
                </m:r>
                <m:r>
                  <w:rPr>
                    <w:rFonts w:ascii="Cambria Math" w:hAnsi="Cambria Math"/>
                  </w:rPr>
                  <m:t>1:3,j</m:t>
                </m:r>
                <m:r>
                  <w:rPr>
                    <w:rFonts w:ascii="Cambria Math" w:hAnsi="Cambria Math" w:hint="eastAsia"/>
                  </w:rPr>
                  <m:t>∈</m:t>
                </m:r>
                <m:r>
                  <w:rPr>
                    <w:rFonts w:ascii="Cambria Math" w:hAnsi="Cambria Math"/>
                  </w:rPr>
                  <m:t xml:space="preserve">+,- </m:t>
                </m:r>
              </m:e>
            </m:d>
          </m:sub>
        </m:sSub>
      </m:oMath>
      <w:r>
        <w:t xml:space="preserve"> (unknown, latent).</w:t>
      </w:r>
    </w:p>
    <w:p w14:paraId="1CC7203B" w14:textId="77777777" w:rsidR="004B23E4" w:rsidRDefault="004B23E4" w:rsidP="004B23E4"/>
    <w:p w14:paraId="1E2C2D9C" w14:textId="77777777" w:rsidR="004B23E4" w:rsidRDefault="004B23E4" w:rsidP="004B23E4">
      <w:r>
        <w:t xml:space="preserve">-Prevalence of BTB for each population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pop</m:t>
                    </m:r>
                  </m:sub>
                </m:sSub>
              </m:e>
            </m:d>
          </m:e>
          <m:sub>
            <m:r>
              <w:rPr>
                <w:rFonts w:ascii="Cambria Math" w:hAnsi="Cambria Math"/>
              </w:rPr>
              <m:t>pop</m:t>
            </m:r>
            <m:r>
              <w:rPr>
                <w:rFonts w:ascii="Cambria Math" w:hAnsi="Cambria Math" w:hint="eastAsia"/>
              </w:rPr>
              <m:t>∈</m:t>
            </m:r>
            <m:r>
              <w:rPr>
                <w:rFonts w:ascii="Cambria Math" w:hAnsi="Cambria Math"/>
              </w:rPr>
              <m:t>(A,B)</m:t>
            </m:r>
          </m:sub>
        </m:sSub>
      </m:oMath>
      <w:r>
        <w:t xml:space="preserve"> (unknown, latent)</w:t>
      </w:r>
    </w:p>
    <w:p w14:paraId="1FDE79AA" w14:textId="77777777" w:rsidR="004B23E4" w:rsidRDefault="004B23E4" w:rsidP="004B23E4"/>
    <w:p w14:paraId="34EE26E1" w14:textId="77777777" w:rsidR="004B23E4" w:rsidRDefault="004B23E4" w:rsidP="004B23E4">
      <w:r>
        <w:t xml:space="preserve">-Number of vaccinated and unvaccinated animals in each population </w:t>
      </w:r>
      <m:oMath>
        <m:sSub>
          <m:sSubPr>
            <m:ctrlPr>
              <w:rPr>
                <w:rFonts w:ascii="Cambria Math" w:hAnsi="Cambria Math"/>
                <w:i/>
              </w:rPr>
            </m:ctrlPr>
          </m:sSubPr>
          <m:e>
            <m:r>
              <w:rPr>
                <w:rFonts w:ascii="Cambria Math" w:hAnsi="Cambria Math"/>
              </w:rPr>
              <m:t>{S</m:t>
            </m:r>
          </m:e>
          <m:sub>
            <m:r>
              <w:rPr>
                <w:rFonts w:ascii="Cambria Math" w:hAnsi="Cambria Math"/>
              </w:rPr>
              <m:t>jpop</m:t>
            </m:r>
          </m:sub>
        </m:sSub>
        <m:r>
          <w:rPr>
            <w:rFonts w:ascii="Cambria Math" w:hAnsi="Cambria Math"/>
          </w:rPr>
          <m:t>}</m:t>
        </m:r>
      </m:oMath>
      <w:r>
        <w:t xml:space="preserve"> (known). </w:t>
      </w:r>
    </w:p>
    <w:p w14:paraId="2F566174" w14:textId="77777777" w:rsidR="004B23E4" w:rsidRDefault="004B23E4" w:rsidP="004B23E4"/>
    <w:p w14:paraId="1FE55F35" w14:textId="77777777" w:rsidR="004B23E4" w:rsidRDefault="004B23E4" w:rsidP="004B23E4">
      <w:r>
        <w:t xml:space="preserve">-Number of animals tested positive in each subpopulation for each test </w:t>
      </w:r>
      <m:oMath>
        <m:sSubSup>
          <m:sSubSupPr>
            <m:ctrlPr>
              <w:rPr>
                <w:rFonts w:ascii="Cambria Math" w:hAnsi="Cambria Math"/>
                <w:i/>
              </w:rPr>
            </m:ctrlPr>
          </m:sSubSupPr>
          <m:e>
            <m:r>
              <w:rPr>
                <w:rFonts w:ascii="Cambria Math" w:hAnsi="Cambria Math"/>
              </w:rPr>
              <m:t>N</m:t>
            </m:r>
          </m:e>
          <m:sub>
            <m:r>
              <w:rPr>
                <w:rFonts w:ascii="Cambria Math" w:hAnsi="Cambria Math"/>
              </w:rPr>
              <m:t>i,pop,j</m:t>
            </m:r>
          </m:sub>
          <m:sup>
            <m:r>
              <w:rPr>
                <w:rFonts w:ascii="Cambria Math" w:hAnsi="Cambria Math"/>
              </w:rPr>
              <m:t>+</m:t>
            </m:r>
          </m:sup>
        </m:sSubSup>
      </m:oMath>
      <w:r>
        <w:t xml:space="preserve"> (measured)</w:t>
      </w:r>
    </w:p>
    <w:p w14:paraId="3D823358" w14:textId="77777777" w:rsidR="004B23E4" w:rsidRDefault="004B23E4" w:rsidP="004B23E4"/>
    <w:p w14:paraId="46F88E8F" w14:textId="77777777" w:rsidR="004B23E4" w:rsidRDefault="004B23E4" w:rsidP="004B23E4">
      <w:r>
        <w:t xml:space="preserve">-Number of animals tested negative in each subpopulation for each test </w:t>
      </w:r>
      <m:oMath>
        <m:sSubSup>
          <m:sSubSupPr>
            <m:ctrlPr>
              <w:rPr>
                <w:rFonts w:ascii="Cambria Math" w:hAnsi="Cambria Math"/>
                <w:i/>
              </w:rPr>
            </m:ctrlPr>
          </m:sSubSupPr>
          <m:e>
            <m:r>
              <w:rPr>
                <w:rFonts w:ascii="Cambria Math" w:hAnsi="Cambria Math"/>
              </w:rPr>
              <m:t>N</m:t>
            </m:r>
          </m:e>
          <m:sub>
            <m:r>
              <w:rPr>
                <w:rFonts w:ascii="Cambria Math" w:hAnsi="Cambria Math"/>
              </w:rPr>
              <m:t>i,pop,j</m:t>
            </m:r>
          </m:sub>
          <m:sup>
            <m:r>
              <w:rPr>
                <w:rFonts w:ascii="Cambria Math" w:hAnsi="Cambria Math"/>
              </w:rPr>
              <m:t>-</m:t>
            </m:r>
          </m:sup>
        </m:sSubSup>
      </m:oMath>
    </w:p>
    <w:p w14:paraId="4881EAC0" w14:textId="77777777" w:rsidR="004B23E4" w:rsidRDefault="004B23E4" w:rsidP="004B23E4">
      <w:r>
        <w:t>(</w:t>
      </w:r>
      <w:proofErr w:type="gramStart"/>
      <w:r>
        <w:t>measured</w:t>
      </w:r>
      <w:proofErr w:type="gramEnd"/>
      <w:r>
        <w:t>)</w:t>
      </w:r>
    </w:p>
    <w:p w14:paraId="3B17A9AF" w14:textId="77777777" w:rsidR="004B23E4" w:rsidRDefault="004B23E4" w:rsidP="004B23E4"/>
    <w:p w14:paraId="15D56190" w14:textId="77777777" w:rsidR="004B23E4" w:rsidRDefault="004B23E4" w:rsidP="004B23E4">
      <w:r>
        <w:t xml:space="preserve">This gives 3*2*2=12 measured counts, four known sizes, and 3*2+2=8 unknowns. This should be an identifiable problem. </w:t>
      </w:r>
    </w:p>
    <w:p w14:paraId="797D08E2" w14:textId="77777777" w:rsidR="004B23E4" w:rsidRDefault="004B23E4"/>
    <w:p w14:paraId="4CCAC062" w14:textId="77777777" w:rsidR="004B23E4" w:rsidRDefault="004B23E4"/>
    <w:p w14:paraId="22C19B9B" w14:textId="42B336F3" w:rsidR="00350B9C" w:rsidRDefault="00CF189B">
      <w:pPr>
        <w:rPr>
          <w:b/>
        </w:rPr>
      </w:pPr>
      <w:r>
        <w:rPr>
          <w:b/>
        </w:rPr>
        <w:t>Statistical Method</w:t>
      </w:r>
    </w:p>
    <w:p w14:paraId="787B4B64" w14:textId="27D09965" w:rsidR="00350B9C" w:rsidRDefault="00350B9C">
      <w:r>
        <w:t xml:space="preserve">Denote by </w:t>
      </w:r>
      <m:oMath>
        <m:r>
          <w:rPr>
            <w:rFonts w:ascii="Cambria Math" w:hAnsi="Cambria Math"/>
          </w:rPr>
          <m:t>++-</m:t>
        </m:r>
      </m:oMath>
      <w:r>
        <w:t xml:space="preserve"> the event that the first two tests, according to a specified ordering, are positive and the third is negative.  Denote in a similar fashion the event of all three being positive (</w:t>
      </w:r>
      <m:oMath>
        <m:r>
          <w:rPr>
            <w:rFonts w:ascii="Cambria Math" w:hAnsi="Cambria Math"/>
          </w:rPr>
          <m:t>+++</m:t>
        </m:r>
      </m:oMath>
      <w:r>
        <w:t>), the first and second test negative and the third positive (</w:t>
      </w:r>
      <m:oMath>
        <m:r>
          <w:rPr>
            <w:rFonts w:ascii="Cambria Math" w:hAnsi="Cambria Math"/>
          </w:rPr>
          <m:t>--+</m:t>
        </m:r>
      </m:oMath>
      <w:r>
        <w:t>) etcetera. Using this notation, we can write out the probability for a com</w:t>
      </w:r>
      <w:r w:rsidR="00814D6D">
        <w:t>b</w:t>
      </w:r>
      <w:bookmarkStart w:id="0" w:name="_GoBack"/>
      <w:bookmarkEnd w:id="0"/>
      <w:r>
        <w:t>ined test result given population, vaccination status, and infection status, as:</w:t>
      </w:r>
    </w:p>
    <w:p w14:paraId="2D084379" w14:textId="77777777" w:rsidR="00350B9C" w:rsidRPr="00350B9C" w:rsidRDefault="00350B9C"/>
    <w:p w14:paraId="31115472" w14:textId="77777777" w:rsidR="00AC319F" w:rsidRDefault="00AC319F"/>
    <w:p w14:paraId="00E16AF1" w14:textId="671AC87B" w:rsidR="00AC319F" w:rsidRPr="00EB01D9" w:rsidRDefault="00AC319F">
      <m:oMathPara>
        <m:oMath>
          <m:r>
            <w:rPr>
              <w:rFonts w:ascii="Cambria Math" w:hAnsi="Cambria Math"/>
            </w:rPr>
            <m:t>P</m:t>
          </m:r>
          <m:d>
            <m:dPr>
              <m:endChr m:val="|"/>
              <m:ctrlPr>
                <w:rPr>
                  <w:rFonts w:ascii="Cambria Math" w:hAnsi="Cambria Math"/>
                  <w:i/>
                </w:rPr>
              </m:ctrlPr>
            </m:dPr>
            <m:e>
              <m:r>
                <w:rPr>
                  <w:rFonts w:ascii="Cambria Math" w:hAnsi="Cambria Math"/>
                </w:rPr>
                <m:t>+++</m:t>
              </m:r>
            </m:e>
          </m:d>
          <m:r>
            <w:rPr>
              <w:rFonts w:ascii="Cambria Math" w:hAnsi="Cambria Math"/>
            </w:rPr>
            <m:t>j,pop)</m:t>
          </m:r>
          <m:r>
            <w:rPr>
              <w:rFonts w:ascii="Cambria Math" w:hAnsi="Cambria Math"/>
              <w:lang w:val="sv-SE"/>
            </w:rPr>
            <m:t>=</m:t>
          </m:r>
          <m:sSub>
            <m:sSubPr>
              <m:ctrlPr>
                <w:rPr>
                  <w:rFonts w:ascii="Cambria Math" w:hAnsi="Cambria Math"/>
                  <w:i/>
                  <w:lang w:val="sv-SE"/>
                </w:rPr>
              </m:ctrlPr>
            </m:sSubPr>
            <m:e>
              <m:r>
                <w:rPr>
                  <w:rFonts w:ascii="Cambria Math" w:hAnsi="Cambria Math"/>
                  <w:lang w:val="sv-SE"/>
                </w:rPr>
                <m:t>Π</m:t>
              </m:r>
            </m:e>
            <m:sub>
              <m:r>
                <w:rPr>
                  <w:rFonts w:ascii="Cambria Math" w:hAnsi="Cambria Math" w:hint="eastAsia"/>
                  <w:lang w:val="sv-SE"/>
                </w:rPr>
                <m:t>∀</m:t>
              </m:r>
              <m:r>
                <m:rPr>
                  <m:sty m:val="p"/>
                </m:rPr>
                <w:rPr>
                  <w:rFonts w:ascii="Cambria Math" w:hAnsi="Cambria Math"/>
                  <w:lang w:val="sv-SE"/>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ij</m:t>
                  </m:r>
                </m:sub>
              </m:sSub>
            </m:e>
          </m:d>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sSub>
            <m:sSubPr>
              <m:ctrlPr>
                <w:rPr>
                  <w:rFonts w:ascii="Cambria Math" w:hAnsi="Cambria Math"/>
                  <w:i/>
                  <w:lang w:val="sv-SE"/>
                </w:rPr>
              </m:ctrlPr>
            </m:sSubPr>
            <m:e>
              <m:r>
                <w:rPr>
                  <w:rFonts w:ascii="Cambria Math" w:hAnsi="Cambria Math"/>
                  <w:lang w:val="sv-SE"/>
                </w:rPr>
                <m:t>Π</m:t>
              </m:r>
            </m:e>
            <m:sub>
              <m:r>
                <w:rPr>
                  <w:rFonts w:ascii="Cambria Math" w:hAnsi="Cambria Math" w:hint="eastAsia"/>
                  <w:lang w:val="sv-SE"/>
                </w:rPr>
                <m:t>∀</m:t>
              </m:r>
              <m:r>
                <m:rPr>
                  <m:sty m:val="p"/>
                </m:rPr>
                <w:rPr>
                  <w:rFonts w:ascii="Cambria Math" w:hAnsi="Cambria Math"/>
                  <w:lang w:val="sv-SE"/>
                </w:rPr>
                <m:t>i</m:t>
              </m:r>
            </m:sub>
          </m:sSub>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p</m:t>
                  </m:r>
                </m:e>
                <m:sub>
                  <m:r>
                    <w:rPr>
                      <w:rFonts w:ascii="Cambria Math" w:hAnsi="Cambria Math"/>
                    </w:rPr>
                    <m:t>ij</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oMath>
      </m:oMathPara>
    </w:p>
    <w:p w14:paraId="62D044A3" w14:textId="77777777" w:rsidR="00EB01D9" w:rsidRDefault="00EB01D9"/>
    <w:p w14:paraId="6AE61E0B" w14:textId="10AE3EE0" w:rsidR="00EB01D9" w:rsidRPr="00350B9C" w:rsidRDefault="00EB01D9" w:rsidP="00EB01D9">
      <m:oMathPara>
        <m:oMath>
          <m:r>
            <w:rPr>
              <w:rFonts w:ascii="Cambria Math" w:hAnsi="Cambria Math"/>
            </w:rPr>
            <m:t>P</m:t>
          </m:r>
          <m:d>
            <m:dPr>
              <m:endChr m:val="|"/>
              <m:ctrlPr>
                <w:rPr>
                  <w:rFonts w:ascii="Cambria Math" w:hAnsi="Cambria Math"/>
                  <w:i/>
                </w:rPr>
              </m:ctrlPr>
            </m:dPr>
            <m:e>
              <m:r>
                <w:rPr>
                  <w:rFonts w:ascii="Cambria Math" w:hAnsi="Cambria Math"/>
                </w:rPr>
                <m:t>---</m:t>
              </m:r>
            </m:e>
          </m:d>
          <m:r>
            <w:rPr>
              <w:rFonts w:ascii="Cambria Math" w:hAnsi="Cambria Math"/>
            </w:rPr>
            <m:t>j,pop)</m:t>
          </m:r>
          <m:r>
            <w:rPr>
              <w:rFonts w:ascii="Cambria Math" w:hAnsi="Cambria Math"/>
              <w:lang w:val="sv-SE"/>
            </w:rPr>
            <m:t>=</m:t>
          </m:r>
          <m:sSub>
            <m:sSubPr>
              <m:ctrlPr>
                <w:rPr>
                  <w:rFonts w:ascii="Cambria Math" w:hAnsi="Cambria Math"/>
                  <w:i/>
                  <w:lang w:val="sv-SE"/>
                </w:rPr>
              </m:ctrlPr>
            </m:sSubPr>
            <m:e>
              <m:r>
                <w:rPr>
                  <w:rFonts w:ascii="Cambria Math" w:hAnsi="Cambria Math"/>
                  <w:lang w:val="sv-SE"/>
                </w:rPr>
                <m:t>Π</m:t>
              </m:r>
            </m:e>
            <m:sub>
              <m:r>
                <w:rPr>
                  <w:rFonts w:ascii="Cambria Math" w:hAnsi="Cambria Math" w:hint="eastAsia"/>
                  <w:lang w:val="sv-SE"/>
                </w:rPr>
                <m:t>∀</m:t>
              </m:r>
              <m:r>
                <m:rPr>
                  <m:sty m:val="p"/>
                </m:rPr>
                <w:rPr>
                  <w:rFonts w:ascii="Cambria Math" w:hAnsi="Cambria Math"/>
                  <w:lang w:val="sv-SE"/>
                </w:rPr>
                <m:t>i</m:t>
              </m:r>
            </m:sub>
          </m:sSub>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e</m:t>
                  </m:r>
                </m:e>
                <m:sub>
                  <m:r>
                    <w:rPr>
                      <w:rFonts w:ascii="Cambria Math" w:hAnsi="Cambria Math"/>
                    </w:rPr>
                    <m:t>ij</m:t>
                  </m:r>
                </m:sub>
              </m:sSub>
            </m:e>
          </m:d>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sSub>
            <m:sSubPr>
              <m:ctrlPr>
                <w:rPr>
                  <w:rFonts w:ascii="Cambria Math" w:hAnsi="Cambria Math"/>
                  <w:i/>
                  <w:lang w:val="sv-SE"/>
                </w:rPr>
              </m:ctrlPr>
            </m:sSubPr>
            <m:e>
              <m:r>
                <w:rPr>
                  <w:rFonts w:ascii="Cambria Math" w:hAnsi="Cambria Math"/>
                  <w:lang w:val="sv-SE"/>
                </w:rPr>
                <m:t>Π</m:t>
              </m:r>
            </m:e>
            <m:sub>
              <m:r>
                <w:rPr>
                  <w:rFonts w:ascii="Cambria Math" w:hAnsi="Cambria Math" w:hint="eastAsia"/>
                  <w:lang w:val="sv-SE"/>
                </w:rPr>
                <m:t>∀</m:t>
              </m:r>
              <m:r>
                <m:rPr>
                  <m:sty m:val="p"/>
                </m:rPr>
                <w:rPr>
                  <w:rFonts w:ascii="Cambria Math" w:hAnsi="Cambria Math"/>
                  <w:lang w:val="sv-SE"/>
                </w:rPr>
                <m:t>i</m:t>
              </m:r>
            </m:sub>
          </m:sSub>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ij</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oMath>
      </m:oMathPara>
    </w:p>
    <w:p w14:paraId="191B88D4" w14:textId="77777777" w:rsidR="00350B9C" w:rsidRDefault="00350B9C" w:rsidP="00EB01D9"/>
    <w:p w14:paraId="505CF82B" w14:textId="77777777" w:rsidR="00350B9C" w:rsidRDefault="00350B9C" w:rsidP="00350B9C">
      <w:r>
        <w:t xml:space="preserve">For each triplet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oMath>
      <w:r>
        <w:t xml:space="preserve"> belonging to the set of permutations </w:t>
      </w:r>
      <m:oMath>
        <m:sSub>
          <m:sSubPr>
            <m:ctrlPr>
              <w:rPr>
                <w:rFonts w:ascii="Cambria Math" w:hAnsi="Cambria Math"/>
                <w:i/>
              </w:rPr>
            </m:ctrlPr>
          </m:sSubPr>
          <m:e>
            <m:r>
              <w:rPr>
                <w:rFonts w:ascii="Cambria Math" w:hAnsi="Cambria Math"/>
              </w:rPr>
              <m:t>S</m:t>
            </m:r>
          </m:e>
          <m:sub>
            <m:d>
              <m:dPr>
                <m:begChr m:val="{"/>
                <m:endChr m:val="}"/>
                <m:ctrlPr>
                  <w:rPr>
                    <w:rFonts w:ascii="Cambria Math" w:hAnsi="Cambria Math"/>
                    <w:i/>
                  </w:rPr>
                </m:ctrlPr>
              </m:dPr>
              <m:e>
                <m:r>
                  <w:rPr>
                    <w:rFonts w:ascii="Cambria Math" w:hAnsi="Cambria Math"/>
                  </w:rPr>
                  <m:t>1,2,3</m:t>
                </m:r>
              </m:e>
            </m:d>
          </m:sub>
        </m:sSub>
      </m:oMath>
      <w:r>
        <w:t xml:space="preserve">, we have </w:t>
      </w:r>
    </w:p>
    <w:p w14:paraId="19A96A95" w14:textId="77777777" w:rsidR="00350B9C" w:rsidRPr="00AE4A22" w:rsidRDefault="00350B9C" w:rsidP="00EB01D9">
      <w:proofErr w:type="gramStart"/>
      <w:r>
        <w:t>that</w:t>
      </w:r>
      <w:proofErr w:type="gramEnd"/>
      <w:r>
        <w:t xml:space="preserve"> :</w:t>
      </w:r>
    </w:p>
    <w:p w14:paraId="136A8B42" w14:textId="77777777" w:rsidR="00AE4A22" w:rsidRPr="00EB01D9" w:rsidRDefault="00AE4A22" w:rsidP="00EB01D9"/>
    <w:p w14:paraId="796D0E22" w14:textId="07AEC72F" w:rsidR="00AE4A22" w:rsidRPr="00AE4A22" w:rsidRDefault="00EB01D9">
      <w:pPr>
        <w:rPr>
          <w:lang w:val="sv-SE"/>
        </w:rPr>
      </w:pPr>
      <m:oMathPara>
        <m:oMath>
          <m:r>
            <w:rPr>
              <w:rFonts w:ascii="Cambria Math" w:hAnsi="Cambria Math"/>
            </w:rPr>
            <m:t>P</m:t>
          </m:r>
          <m:d>
            <m:dPr>
              <m:endChr m:val="|"/>
              <m:ctrlPr>
                <w:rPr>
                  <w:rFonts w:ascii="Cambria Math" w:hAnsi="Cambria Math"/>
                  <w:i/>
                </w:rPr>
              </m:ctrlPr>
            </m:dPr>
            <m:e>
              <m:r>
                <w:rPr>
                  <w:rFonts w:ascii="Cambria Math" w:hAnsi="Cambria Math"/>
                </w:rPr>
                <m:t>++-</m:t>
              </m:r>
            </m:e>
          </m:d>
          <m:r>
            <w:rPr>
              <w:rFonts w:ascii="Cambria Math" w:hAnsi="Cambria Math"/>
            </w:rPr>
            <m:t>j,pop)</m:t>
          </m:r>
          <m:r>
            <w:rPr>
              <w:rFonts w:ascii="Cambria Math" w:hAnsi="Cambria Math"/>
              <w:lang w:val="sv-SE"/>
            </w:rPr>
            <m:t>=</m:t>
          </m:r>
        </m:oMath>
      </m:oMathPara>
    </w:p>
    <w:p w14:paraId="67C4202A" w14:textId="77777777" w:rsidR="00EB01D9" w:rsidRPr="00AE4A22" w:rsidRDefault="00EB01D9">
      <m:oMathPara>
        <m:oMath>
          <m:r>
            <w:rPr>
              <w:rFonts w:ascii="Cambria Math" w:hAnsi="Cambria Math"/>
              <w:lang w:val="sv-SE"/>
            </w:rPr>
            <m:t xml:space="preserve"> </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j</m:t>
                  </m:r>
                </m:sub>
              </m:sSub>
              <m:r>
                <w:rPr>
                  <w:rFonts w:ascii="Cambria Math" w:hAnsi="Cambria Math"/>
                </w:rPr>
                <m:t>S</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j</m:t>
                  </m:r>
                </m:sub>
              </m:sSub>
            </m:e>
          </m:d>
          <m:r>
            <w:rPr>
              <w:rFonts w:ascii="Cambria Math" w:hAnsi="Cambria Math"/>
            </w:rPr>
            <m:t>(1-S</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j</m:t>
                  </m:r>
                </m:sub>
              </m:sSub>
            </m:e>
          </m:d>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j</m:t>
                  </m:r>
                </m:sub>
              </m:sSub>
            </m:e>
          </m:d>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j</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oMath>
      </m:oMathPara>
    </w:p>
    <w:p w14:paraId="6A12E829" w14:textId="77777777" w:rsidR="00AE4A22" w:rsidRDefault="00350B9C">
      <w:pPr>
        <w:rPr>
          <w:lang w:val="sv-SE"/>
        </w:rPr>
      </w:pPr>
      <w:r>
        <w:rPr>
          <w:lang w:val="sv-SE"/>
        </w:rPr>
        <w:t>and</w:t>
      </w:r>
    </w:p>
    <w:p w14:paraId="7261653A" w14:textId="77777777" w:rsidR="00350B9C" w:rsidRPr="00EB01D9" w:rsidRDefault="00350B9C">
      <w:pPr>
        <w:rPr>
          <w:lang w:val="sv-SE"/>
        </w:rPr>
      </w:pPr>
    </w:p>
    <w:p w14:paraId="1D755756" w14:textId="69007F65" w:rsidR="00EB01D9" w:rsidRPr="00AE4A22" w:rsidRDefault="00EB01D9">
      <w:pPr>
        <w:rPr>
          <w:lang w:val="sv-SE"/>
        </w:rPr>
      </w:pPr>
      <m:oMathPara>
        <m:oMath>
          <m:r>
            <w:rPr>
              <w:rFonts w:ascii="Cambria Math" w:hAnsi="Cambria Math"/>
            </w:rPr>
            <m:t>P</m:t>
          </m:r>
          <m:d>
            <m:dPr>
              <m:endChr m:val="|"/>
              <m:ctrlPr>
                <w:rPr>
                  <w:rFonts w:ascii="Cambria Math" w:hAnsi="Cambria Math"/>
                  <w:i/>
                </w:rPr>
              </m:ctrlPr>
            </m:dPr>
            <m:e>
              <m:r>
                <w:rPr>
                  <w:rFonts w:ascii="Cambria Math" w:hAnsi="Cambria Math"/>
                </w:rPr>
                <m:t>+- -</m:t>
              </m:r>
            </m:e>
          </m:d>
          <m:r>
            <w:rPr>
              <w:rFonts w:ascii="Cambria Math" w:hAnsi="Cambria Math"/>
            </w:rPr>
            <m:t>j,pop)</m:t>
          </m:r>
          <m:r>
            <w:rPr>
              <w:rFonts w:ascii="Cambria Math" w:hAnsi="Cambria Math"/>
              <w:lang w:val="sv-SE"/>
            </w:rPr>
            <m:t>=</m:t>
          </m:r>
        </m:oMath>
      </m:oMathPara>
    </w:p>
    <w:p w14:paraId="39A43C0F" w14:textId="77777777" w:rsidR="00AE4A22" w:rsidRPr="007F1855" w:rsidRDefault="00AE4A22" w:rsidP="00AE4A22">
      <m:oMathPara>
        <m:oMath>
          <m:r>
            <w:rPr>
              <w:rFonts w:ascii="Cambria Math" w:hAnsi="Cambria Math"/>
            </w:rPr>
            <m:t>S</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j</m:t>
              </m:r>
            </m:sub>
          </m:sSub>
          <m:r>
            <w:rPr>
              <w:rFonts w:ascii="Cambria Math" w:hAnsi="Cambria Math"/>
            </w:rPr>
            <m:t>(1-S</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j</m:t>
              </m:r>
            </m:sub>
          </m:sSub>
          <m:r>
            <w:rPr>
              <w:rFonts w:ascii="Cambria Math" w:hAnsi="Cambria Math"/>
            </w:rPr>
            <m:t>)(1-S</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j</m:t>
              </m:r>
            </m:sub>
          </m:sSub>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j</m:t>
                  </m:r>
                </m:sub>
              </m:sSub>
            </m:e>
          </m:d>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j</m:t>
                  </m:r>
                </m:sub>
              </m:sSub>
            </m:e>
          </m:d>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j</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pop</m:t>
              </m:r>
            </m:sub>
          </m:sSub>
          <m:r>
            <w:rPr>
              <w:rFonts w:ascii="Cambria Math" w:hAnsi="Cambria Math"/>
            </w:rPr>
            <m:t>)</m:t>
          </m:r>
        </m:oMath>
      </m:oMathPara>
    </w:p>
    <w:p w14:paraId="6A3415ED" w14:textId="77777777" w:rsidR="007F1855" w:rsidRDefault="007F1855" w:rsidP="00AE4A22"/>
    <w:p w14:paraId="360C93A0" w14:textId="77777777" w:rsidR="004B23E4" w:rsidRDefault="004B23E4" w:rsidP="00AE4A22"/>
    <w:p w14:paraId="1B883173" w14:textId="52DDD7D3" w:rsidR="004B23E4" w:rsidRPr="004B23E4" w:rsidRDefault="004B23E4" w:rsidP="00AE4A22">
      <w:pPr>
        <w:rPr>
          <w:b/>
        </w:rPr>
      </w:pPr>
      <w:r w:rsidRPr="004B23E4">
        <w:rPr>
          <w:b/>
        </w:rPr>
        <w:t xml:space="preserve">Considerations of </w:t>
      </w:r>
      <w:proofErr w:type="spellStart"/>
      <w:r w:rsidRPr="004B23E4">
        <w:rPr>
          <w:b/>
        </w:rPr>
        <w:t>identifiability</w:t>
      </w:r>
      <w:proofErr w:type="spellEnd"/>
    </w:p>
    <w:p w14:paraId="3532981D" w14:textId="77777777" w:rsidR="009D7F0C" w:rsidRDefault="009D7F0C" w:rsidP="00AE4A22"/>
    <w:p w14:paraId="710262E1" w14:textId="08D143E1" w:rsidR="009D7F0C" w:rsidRDefault="009D7F0C" w:rsidP="00AE4A22">
      <w:r>
        <w:t xml:space="preserve">If we assume that specificity of the standard test for vaccinated animals is 0.5, </w:t>
      </w:r>
      <w:proofErr w:type="spellStart"/>
      <w:r>
        <w:t>i.e</w:t>
      </w:r>
      <w:proofErr w:type="spellEnd"/>
      <w:r>
        <w:t xml:space="preserve"> completely unable to distinguish between negative and vaccinated animals, and you allow the sensitivity and specificity to range between 0 and 1</w:t>
      </w:r>
      <w:proofErr w:type="gramStart"/>
      <w:r>
        <w:t>,  there</w:t>
      </w:r>
      <w:proofErr w:type="gramEnd"/>
      <w:r>
        <w:t xml:space="preserve"> is a degenerate solution for the above equations where the sensitivity of both the standard and the Viva test is zero, and they always show negative results for positive animals.  A solution to this is to require that Sensitivity and Specificity both are above 0.5 (as otherwise flipping the sign would result in a better test) [though is this really the case?? Not sure when combining both Se and </w:t>
      </w:r>
      <w:proofErr w:type="spellStart"/>
      <w:r>
        <w:t>Sp</w:t>
      </w:r>
      <w:proofErr w:type="spellEnd"/>
      <w:r>
        <w:t>…]</w:t>
      </w:r>
    </w:p>
    <w:p w14:paraId="4963F6B8" w14:textId="77777777" w:rsidR="001B0AE7" w:rsidRDefault="001B0AE7" w:rsidP="00AE4A22"/>
    <w:p w14:paraId="3BBAA802" w14:textId="31E73AFC" w:rsidR="007A01BC" w:rsidRDefault="001B0AE7" w:rsidP="00AE4A22">
      <w:pPr>
        <w:rPr>
          <w:b/>
        </w:rPr>
      </w:pPr>
      <w:r w:rsidRPr="001B0AE7">
        <w:rPr>
          <w:b/>
        </w:rPr>
        <w:t>Results</w:t>
      </w:r>
    </w:p>
    <w:p w14:paraId="02CC2654" w14:textId="072264B5" w:rsidR="007A01BC" w:rsidRPr="007A01BC" w:rsidRDefault="007A01BC" w:rsidP="00AE4A22">
      <w:r>
        <w:lastRenderedPageBreak/>
        <w:t xml:space="preserve">We generated data assuming that the trial was run </w:t>
      </w:r>
      <w:proofErr w:type="gramStart"/>
      <w:r>
        <w:t>on  four</w:t>
      </w:r>
      <w:proofErr w:type="gramEnd"/>
      <w:r>
        <w:t xml:space="preserve"> groups of  5000 individuals each: vaccinated and unvaccinated cattle , from either a high prevalence (modelled as a prevalence of 5%), or a low prevalence (modelled as 2%) population. During a sample run of this scenario, under the assumption that the true sensitivity of the VIVA </w:t>
      </w:r>
      <w:proofErr w:type="gramStart"/>
      <w:r>
        <w:t>test  was</w:t>
      </w:r>
      <w:proofErr w:type="gramEnd"/>
      <w:r>
        <w:t xml:space="preserve"> 99.9%, the 95% posterior credible interval for the VIVA test specificity was borderline successful  in proving that it was higher than the critical threshold value of 99.4%.</w:t>
      </w:r>
    </w:p>
    <w:p w14:paraId="1B2C40B0" w14:textId="77777777" w:rsidR="001B0AE7" w:rsidRDefault="001B0AE7" w:rsidP="00AE4A22"/>
    <w:tbl>
      <w:tblPr>
        <w:tblStyle w:val="MediumList2"/>
        <w:tblW w:w="0" w:type="auto"/>
        <w:tblLook w:val="04A0" w:firstRow="1" w:lastRow="0" w:firstColumn="1" w:lastColumn="0" w:noHBand="0" w:noVBand="1"/>
      </w:tblPr>
      <w:tblGrid>
        <w:gridCol w:w="2460"/>
        <w:gridCol w:w="885"/>
        <w:gridCol w:w="885"/>
        <w:gridCol w:w="1275"/>
      </w:tblGrid>
      <w:tr w:rsidR="00A760F7" w14:paraId="64A04204" w14:textId="77777777" w:rsidTr="007A01BC">
        <w:trPr>
          <w:cnfStyle w:val="100000000000" w:firstRow="1" w:lastRow="0" w:firstColumn="0" w:lastColumn="0" w:oddVBand="0" w:evenVBand="0" w:oddHBand="0" w:evenHBand="0" w:firstRowFirstColumn="0" w:firstRowLastColumn="0" w:lastRowFirstColumn="0" w:lastRowLastColumn="0"/>
          <w:divId w:val="1690183995"/>
        </w:trPr>
        <w:tc>
          <w:tcPr>
            <w:cnfStyle w:val="001000000100" w:firstRow="0" w:lastRow="0" w:firstColumn="1" w:lastColumn="0" w:oddVBand="0" w:evenVBand="0" w:oddHBand="0" w:evenHBand="0" w:firstRowFirstColumn="1" w:firstRowLastColumn="0" w:lastRowFirstColumn="0" w:lastRowLastColumn="0"/>
            <w:tcW w:w="0" w:type="auto"/>
            <w:hideMark/>
          </w:tcPr>
          <w:p w14:paraId="12DC9C35" w14:textId="77777777" w:rsidR="00A760F7" w:rsidRDefault="00A760F7">
            <w:pPr>
              <w:jc w:val="center"/>
              <w:rPr>
                <w:rFonts w:ascii="Times" w:eastAsia="Times New Roman" w:hAnsi="Times" w:cs="Times New Roman"/>
                <w:b/>
                <w:bCs/>
              </w:rPr>
            </w:pPr>
          </w:p>
        </w:tc>
        <w:tc>
          <w:tcPr>
            <w:tcW w:w="0" w:type="auto"/>
            <w:tcBorders>
              <w:bottom w:val="single" w:sz="24" w:space="0" w:color="auto"/>
            </w:tcBorders>
            <w:hideMark/>
          </w:tcPr>
          <w:p w14:paraId="34615A9F" w14:textId="77777777" w:rsidR="00A760F7" w:rsidRDefault="00A760F7">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b/>
                <w:bCs/>
              </w:rPr>
            </w:pPr>
            <w:proofErr w:type="gramStart"/>
            <w:r>
              <w:rPr>
                <w:rFonts w:eastAsia="Times New Roman" w:cs="Times New Roman"/>
                <w:b/>
                <w:bCs/>
              </w:rPr>
              <w:t>lower</w:t>
            </w:r>
            <w:proofErr w:type="gramEnd"/>
            <w:r>
              <w:rPr>
                <w:rFonts w:eastAsia="Times New Roman" w:cs="Times New Roman"/>
                <w:b/>
                <w:bCs/>
              </w:rPr>
              <w:t xml:space="preserve"> </w:t>
            </w:r>
          </w:p>
        </w:tc>
        <w:tc>
          <w:tcPr>
            <w:tcW w:w="0" w:type="auto"/>
            <w:tcBorders>
              <w:bottom w:val="single" w:sz="24" w:space="0" w:color="auto"/>
            </w:tcBorders>
            <w:hideMark/>
          </w:tcPr>
          <w:p w14:paraId="15DE568A" w14:textId="77777777" w:rsidR="00A760F7" w:rsidRDefault="00A760F7">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b/>
                <w:bCs/>
              </w:rPr>
            </w:pPr>
            <w:proofErr w:type="gramStart"/>
            <w:r>
              <w:rPr>
                <w:rFonts w:eastAsia="Times New Roman" w:cs="Times New Roman"/>
                <w:b/>
                <w:bCs/>
              </w:rPr>
              <w:t>upper</w:t>
            </w:r>
            <w:proofErr w:type="gramEnd"/>
            <w:r>
              <w:rPr>
                <w:rFonts w:eastAsia="Times New Roman" w:cs="Times New Roman"/>
                <w:b/>
                <w:bCs/>
              </w:rPr>
              <w:t xml:space="preserve"> </w:t>
            </w:r>
          </w:p>
        </w:tc>
        <w:tc>
          <w:tcPr>
            <w:tcW w:w="0" w:type="auto"/>
            <w:tcBorders>
              <w:bottom w:val="single" w:sz="24" w:space="0" w:color="auto"/>
            </w:tcBorders>
            <w:hideMark/>
          </w:tcPr>
          <w:p w14:paraId="0DAA9845" w14:textId="77777777" w:rsidR="00A760F7" w:rsidRDefault="00A760F7">
            <w:pPr>
              <w:jc w:val="center"/>
              <w:cnfStyle w:val="100000000000" w:firstRow="1" w:lastRow="0" w:firstColumn="0" w:lastColumn="0" w:oddVBand="0" w:evenVBand="0" w:oddHBand="0" w:evenHBand="0" w:firstRowFirstColumn="0" w:firstRowLastColumn="0" w:lastRowFirstColumn="0" w:lastRowLastColumn="0"/>
              <w:rPr>
                <w:rFonts w:ascii="Times" w:eastAsia="Times New Roman" w:hAnsi="Times" w:cs="Times New Roman"/>
                <w:b/>
                <w:bCs/>
              </w:rPr>
            </w:pPr>
            <w:proofErr w:type="spellStart"/>
            <w:r>
              <w:rPr>
                <w:rFonts w:eastAsia="Times New Roman" w:cs="Times New Roman"/>
                <w:b/>
                <w:bCs/>
              </w:rPr>
              <w:t>True.value</w:t>
            </w:r>
            <w:proofErr w:type="spellEnd"/>
            <w:r>
              <w:rPr>
                <w:rFonts w:eastAsia="Times New Roman" w:cs="Times New Roman"/>
                <w:b/>
                <w:bCs/>
              </w:rPr>
              <w:t xml:space="preserve"> </w:t>
            </w:r>
          </w:p>
        </w:tc>
      </w:tr>
      <w:tr w:rsidR="00A760F7" w14:paraId="1DD2AE97" w14:textId="77777777" w:rsidTr="007A01BC">
        <w:trPr>
          <w:cnfStyle w:val="000000100000" w:firstRow="0" w:lastRow="0" w:firstColumn="0" w:lastColumn="0" w:oddVBand="0" w:evenVBand="0" w:oddHBand="1" w:evenHBand="0" w:firstRowFirstColumn="0" w:firstRowLastColumn="0" w:lastRowFirstColumn="0" w:lastRowLastColumn="0"/>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73118112" w14:textId="77777777" w:rsidR="00A760F7" w:rsidRDefault="00A760F7">
            <w:pPr>
              <w:jc w:val="right"/>
              <w:rPr>
                <w:rFonts w:ascii="Times" w:eastAsia="Times New Roman" w:hAnsi="Times" w:cs="Times New Roman"/>
              </w:rPr>
            </w:pPr>
            <w:r>
              <w:rPr>
                <w:rFonts w:eastAsia="Times New Roman" w:cs="Times New Roman"/>
              </w:rPr>
              <w:t xml:space="preserve">High prevalence pop </w:t>
            </w:r>
          </w:p>
        </w:tc>
        <w:tc>
          <w:tcPr>
            <w:tcW w:w="0" w:type="auto"/>
            <w:tcBorders>
              <w:top w:val="single" w:sz="24" w:space="0" w:color="auto"/>
              <w:left w:val="single" w:sz="6" w:space="0" w:color="auto"/>
              <w:bottom w:val="dashSmallGap" w:sz="4" w:space="0" w:color="auto"/>
            </w:tcBorders>
            <w:shd w:val="clear" w:color="auto" w:fill="auto"/>
            <w:hideMark/>
          </w:tcPr>
          <w:p w14:paraId="019185C8"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0.0418 </w:t>
            </w:r>
          </w:p>
        </w:tc>
        <w:tc>
          <w:tcPr>
            <w:tcW w:w="0" w:type="auto"/>
            <w:tcBorders>
              <w:top w:val="single" w:sz="24" w:space="0" w:color="auto"/>
              <w:bottom w:val="dashSmallGap" w:sz="4" w:space="0" w:color="auto"/>
            </w:tcBorders>
            <w:shd w:val="clear" w:color="auto" w:fill="auto"/>
            <w:hideMark/>
          </w:tcPr>
          <w:p w14:paraId="46C5EF0C"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0.0629 </w:t>
            </w:r>
          </w:p>
        </w:tc>
        <w:tc>
          <w:tcPr>
            <w:tcW w:w="0" w:type="auto"/>
            <w:tcBorders>
              <w:top w:val="single" w:sz="24" w:space="0" w:color="auto"/>
              <w:bottom w:val="dashSmallGap" w:sz="4" w:space="0" w:color="auto"/>
              <w:right w:val="nil"/>
            </w:tcBorders>
            <w:shd w:val="clear" w:color="auto" w:fill="auto"/>
            <w:hideMark/>
          </w:tcPr>
          <w:p w14:paraId="32706B57"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0.0500 </w:t>
            </w:r>
          </w:p>
        </w:tc>
      </w:tr>
      <w:tr w:rsidR="00A760F7" w14:paraId="69E67BF9" w14:textId="77777777" w:rsidTr="007A01BC">
        <w:trPr>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3680A35C" w14:textId="77777777" w:rsidR="00A760F7" w:rsidRDefault="00A760F7">
            <w:pPr>
              <w:jc w:val="right"/>
              <w:rPr>
                <w:rFonts w:ascii="Times" w:eastAsia="Times New Roman" w:hAnsi="Times" w:cs="Times New Roman"/>
              </w:rPr>
            </w:pPr>
            <w:r>
              <w:rPr>
                <w:rFonts w:eastAsia="Times New Roman" w:cs="Times New Roman"/>
              </w:rPr>
              <w:t xml:space="preserve">Low prevalence pop </w:t>
            </w:r>
          </w:p>
        </w:tc>
        <w:tc>
          <w:tcPr>
            <w:tcW w:w="0" w:type="auto"/>
            <w:tcBorders>
              <w:top w:val="dashSmallGap" w:sz="4" w:space="0" w:color="auto"/>
              <w:left w:val="single" w:sz="6" w:space="0" w:color="auto"/>
              <w:bottom w:val="dashSmallGap" w:sz="4" w:space="0" w:color="auto"/>
              <w:right w:val="nil"/>
            </w:tcBorders>
            <w:shd w:val="clear" w:color="auto" w:fill="auto"/>
            <w:hideMark/>
          </w:tcPr>
          <w:p w14:paraId="0007C55C"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0.0134 </w:t>
            </w:r>
          </w:p>
        </w:tc>
        <w:tc>
          <w:tcPr>
            <w:tcW w:w="0" w:type="auto"/>
            <w:tcBorders>
              <w:top w:val="dashSmallGap" w:sz="4" w:space="0" w:color="auto"/>
              <w:left w:val="nil"/>
              <w:bottom w:val="dashSmallGap" w:sz="4" w:space="0" w:color="auto"/>
              <w:right w:val="nil"/>
            </w:tcBorders>
            <w:shd w:val="clear" w:color="auto" w:fill="auto"/>
            <w:hideMark/>
          </w:tcPr>
          <w:p w14:paraId="452B1218"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0.0247 </w:t>
            </w:r>
          </w:p>
        </w:tc>
        <w:tc>
          <w:tcPr>
            <w:tcW w:w="0" w:type="auto"/>
            <w:tcBorders>
              <w:top w:val="dashSmallGap" w:sz="4" w:space="0" w:color="auto"/>
              <w:left w:val="nil"/>
              <w:bottom w:val="dashSmallGap" w:sz="4" w:space="0" w:color="auto"/>
              <w:right w:val="nil"/>
            </w:tcBorders>
            <w:shd w:val="clear" w:color="auto" w:fill="auto"/>
            <w:hideMark/>
          </w:tcPr>
          <w:p w14:paraId="2061FAFD"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0.0200 </w:t>
            </w:r>
          </w:p>
        </w:tc>
      </w:tr>
      <w:tr w:rsidR="00A760F7" w14:paraId="7CE3AFF0" w14:textId="77777777" w:rsidTr="007A01BC">
        <w:trPr>
          <w:cnfStyle w:val="000000100000" w:firstRow="0" w:lastRow="0" w:firstColumn="0" w:lastColumn="0" w:oddVBand="0" w:evenVBand="0" w:oddHBand="1" w:evenHBand="0" w:firstRowFirstColumn="0" w:firstRowLastColumn="0" w:lastRowFirstColumn="0" w:lastRowLastColumn="0"/>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4A2EE4E9" w14:textId="77777777" w:rsidR="00A760F7" w:rsidRDefault="00A760F7">
            <w:pPr>
              <w:jc w:val="right"/>
              <w:rPr>
                <w:rFonts w:ascii="Times" w:eastAsia="Times New Roman" w:hAnsi="Times" w:cs="Times New Roman"/>
              </w:rPr>
            </w:pPr>
            <w:proofErr w:type="spellStart"/>
            <w:r>
              <w:rPr>
                <w:rFonts w:eastAsia="Times New Roman" w:cs="Times New Roman"/>
              </w:rPr>
              <w:t>SeStd</w:t>
            </w:r>
            <w:proofErr w:type="spellEnd"/>
            <w:r>
              <w:rPr>
                <w:rFonts w:eastAsia="Times New Roman" w:cs="Times New Roman"/>
              </w:rPr>
              <w:t xml:space="preserve"> vaccine pop </w:t>
            </w:r>
          </w:p>
        </w:tc>
        <w:tc>
          <w:tcPr>
            <w:tcW w:w="0" w:type="auto"/>
            <w:tcBorders>
              <w:top w:val="dashSmallGap" w:sz="4" w:space="0" w:color="auto"/>
              <w:left w:val="single" w:sz="6" w:space="0" w:color="auto"/>
              <w:bottom w:val="dashSmallGap" w:sz="4" w:space="0" w:color="auto"/>
            </w:tcBorders>
            <w:shd w:val="clear" w:color="auto" w:fill="auto"/>
            <w:hideMark/>
          </w:tcPr>
          <w:p w14:paraId="0410963D"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0.6738 </w:t>
            </w:r>
          </w:p>
        </w:tc>
        <w:tc>
          <w:tcPr>
            <w:tcW w:w="0" w:type="auto"/>
            <w:tcBorders>
              <w:top w:val="dashSmallGap" w:sz="4" w:space="0" w:color="auto"/>
              <w:bottom w:val="dashSmallGap" w:sz="4" w:space="0" w:color="auto"/>
            </w:tcBorders>
            <w:shd w:val="clear" w:color="auto" w:fill="auto"/>
            <w:hideMark/>
          </w:tcPr>
          <w:p w14:paraId="0B60629A"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0.8264 </w:t>
            </w:r>
          </w:p>
        </w:tc>
        <w:tc>
          <w:tcPr>
            <w:tcW w:w="0" w:type="auto"/>
            <w:tcBorders>
              <w:top w:val="dashSmallGap" w:sz="4" w:space="0" w:color="auto"/>
              <w:bottom w:val="dashSmallGap" w:sz="4" w:space="0" w:color="auto"/>
              <w:right w:val="nil"/>
            </w:tcBorders>
            <w:shd w:val="clear" w:color="auto" w:fill="auto"/>
            <w:hideMark/>
          </w:tcPr>
          <w:p w14:paraId="0BB36984"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0.7000 </w:t>
            </w:r>
          </w:p>
        </w:tc>
      </w:tr>
      <w:tr w:rsidR="00A760F7" w14:paraId="2CA8ACAE" w14:textId="77777777" w:rsidTr="007A01BC">
        <w:trPr>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45E172DD" w14:textId="77777777" w:rsidR="00A760F7" w:rsidRDefault="00A760F7">
            <w:pPr>
              <w:jc w:val="right"/>
              <w:rPr>
                <w:rFonts w:ascii="Times" w:eastAsia="Times New Roman" w:hAnsi="Times" w:cs="Times New Roman"/>
              </w:rPr>
            </w:pPr>
            <w:proofErr w:type="spellStart"/>
            <w:r>
              <w:rPr>
                <w:rFonts w:eastAsia="Times New Roman" w:cs="Times New Roman"/>
              </w:rPr>
              <w:t>SeStd</w:t>
            </w:r>
            <w:proofErr w:type="spellEnd"/>
            <w:r>
              <w:rPr>
                <w:rFonts w:eastAsia="Times New Roman" w:cs="Times New Roman"/>
              </w:rPr>
              <w:t xml:space="preserve"> </w:t>
            </w:r>
            <w:proofErr w:type="spellStart"/>
            <w:r>
              <w:rPr>
                <w:rFonts w:eastAsia="Times New Roman" w:cs="Times New Roman"/>
              </w:rPr>
              <w:t>nonvaccine</w:t>
            </w:r>
            <w:proofErr w:type="spellEnd"/>
            <w:r>
              <w:rPr>
                <w:rFonts w:eastAsia="Times New Roman" w:cs="Times New Roman"/>
              </w:rPr>
              <w:t xml:space="preserve"> pop </w:t>
            </w:r>
          </w:p>
        </w:tc>
        <w:tc>
          <w:tcPr>
            <w:tcW w:w="0" w:type="auto"/>
            <w:tcBorders>
              <w:top w:val="dashSmallGap" w:sz="4" w:space="0" w:color="auto"/>
              <w:left w:val="single" w:sz="6" w:space="0" w:color="auto"/>
              <w:bottom w:val="dashSmallGap" w:sz="4" w:space="0" w:color="auto"/>
              <w:right w:val="nil"/>
            </w:tcBorders>
            <w:shd w:val="clear" w:color="auto" w:fill="auto"/>
            <w:hideMark/>
          </w:tcPr>
          <w:p w14:paraId="750058AE"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0.6283 </w:t>
            </w:r>
          </w:p>
        </w:tc>
        <w:tc>
          <w:tcPr>
            <w:tcW w:w="0" w:type="auto"/>
            <w:tcBorders>
              <w:top w:val="dashSmallGap" w:sz="4" w:space="0" w:color="auto"/>
              <w:left w:val="nil"/>
              <w:bottom w:val="dashSmallGap" w:sz="4" w:space="0" w:color="auto"/>
              <w:right w:val="nil"/>
            </w:tcBorders>
            <w:shd w:val="clear" w:color="auto" w:fill="auto"/>
            <w:hideMark/>
          </w:tcPr>
          <w:p w14:paraId="29570798"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0.8542 </w:t>
            </w:r>
          </w:p>
        </w:tc>
        <w:tc>
          <w:tcPr>
            <w:tcW w:w="0" w:type="auto"/>
            <w:tcBorders>
              <w:top w:val="dashSmallGap" w:sz="4" w:space="0" w:color="auto"/>
              <w:left w:val="nil"/>
              <w:bottom w:val="dashSmallGap" w:sz="4" w:space="0" w:color="auto"/>
              <w:right w:val="nil"/>
            </w:tcBorders>
            <w:shd w:val="clear" w:color="auto" w:fill="auto"/>
            <w:hideMark/>
          </w:tcPr>
          <w:p w14:paraId="0ACB19C7"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0.7000 </w:t>
            </w:r>
          </w:p>
        </w:tc>
      </w:tr>
      <w:tr w:rsidR="00A760F7" w14:paraId="557A6006" w14:textId="77777777" w:rsidTr="007A01BC">
        <w:trPr>
          <w:cnfStyle w:val="000000100000" w:firstRow="0" w:lastRow="0" w:firstColumn="0" w:lastColumn="0" w:oddVBand="0" w:evenVBand="0" w:oddHBand="1" w:evenHBand="0" w:firstRowFirstColumn="0" w:firstRowLastColumn="0" w:lastRowFirstColumn="0" w:lastRowLastColumn="0"/>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5DF54A54" w14:textId="77777777" w:rsidR="00A760F7" w:rsidRDefault="00A760F7">
            <w:pPr>
              <w:jc w:val="right"/>
              <w:rPr>
                <w:rFonts w:ascii="Times" w:eastAsia="Times New Roman" w:hAnsi="Times" w:cs="Times New Roman"/>
              </w:rPr>
            </w:pPr>
            <w:proofErr w:type="spellStart"/>
            <w:r>
              <w:rPr>
                <w:rFonts w:eastAsia="Times New Roman" w:cs="Times New Roman"/>
              </w:rPr>
              <w:t>SeViva</w:t>
            </w:r>
            <w:proofErr w:type="spellEnd"/>
            <w:r>
              <w:rPr>
                <w:rFonts w:eastAsia="Times New Roman" w:cs="Times New Roman"/>
              </w:rPr>
              <w:t xml:space="preserve"> vaccine pop </w:t>
            </w:r>
          </w:p>
        </w:tc>
        <w:tc>
          <w:tcPr>
            <w:tcW w:w="0" w:type="auto"/>
            <w:tcBorders>
              <w:top w:val="dashSmallGap" w:sz="4" w:space="0" w:color="auto"/>
              <w:left w:val="single" w:sz="6" w:space="0" w:color="auto"/>
              <w:bottom w:val="dashSmallGap" w:sz="4" w:space="0" w:color="auto"/>
            </w:tcBorders>
            <w:shd w:val="clear" w:color="auto" w:fill="auto"/>
            <w:hideMark/>
          </w:tcPr>
          <w:p w14:paraId="26315E6C"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0.5004 </w:t>
            </w:r>
          </w:p>
        </w:tc>
        <w:tc>
          <w:tcPr>
            <w:tcW w:w="0" w:type="auto"/>
            <w:tcBorders>
              <w:top w:val="dashSmallGap" w:sz="4" w:space="0" w:color="auto"/>
              <w:bottom w:val="dashSmallGap" w:sz="4" w:space="0" w:color="auto"/>
            </w:tcBorders>
            <w:shd w:val="clear" w:color="auto" w:fill="auto"/>
            <w:hideMark/>
          </w:tcPr>
          <w:p w14:paraId="4F0009E9"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0.8329 </w:t>
            </w:r>
          </w:p>
        </w:tc>
        <w:tc>
          <w:tcPr>
            <w:tcW w:w="0" w:type="auto"/>
            <w:tcBorders>
              <w:top w:val="dashSmallGap" w:sz="4" w:space="0" w:color="auto"/>
              <w:bottom w:val="dashSmallGap" w:sz="4" w:space="0" w:color="auto"/>
              <w:right w:val="nil"/>
            </w:tcBorders>
            <w:shd w:val="clear" w:color="auto" w:fill="auto"/>
            <w:hideMark/>
          </w:tcPr>
          <w:p w14:paraId="4F88FDB8"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0.7000 </w:t>
            </w:r>
          </w:p>
        </w:tc>
      </w:tr>
      <w:tr w:rsidR="00A760F7" w14:paraId="099BDD1C" w14:textId="77777777" w:rsidTr="007A01BC">
        <w:trPr>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52C29A66" w14:textId="77777777" w:rsidR="00A760F7" w:rsidRDefault="00A760F7">
            <w:pPr>
              <w:jc w:val="right"/>
              <w:rPr>
                <w:rFonts w:ascii="Times" w:eastAsia="Times New Roman" w:hAnsi="Times" w:cs="Times New Roman"/>
              </w:rPr>
            </w:pPr>
            <w:proofErr w:type="spellStart"/>
            <w:r>
              <w:rPr>
                <w:rFonts w:eastAsia="Times New Roman" w:cs="Times New Roman"/>
              </w:rPr>
              <w:t>SeViva</w:t>
            </w:r>
            <w:proofErr w:type="spellEnd"/>
            <w:r>
              <w:rPr>
                <w:rFonts w:eastAsia="Times New Roman" w:cs="Times New Roman"/>
              </w:rPr>
              <w:t xml:space="preserve"> </w:t>
            </w:r>
            <w:proofErr w:type="spellStart"/>
            <w:r>
              <w:rPr>
                <w:rFonts w:eastAsia="Times New Roman" w:cs="Times New Roman"/>
              </w:rPr>
              <w:t>nonvaccine</w:t>
            </w:r>
            <w:proofErr w:type="spellEnd"/>
            <w:r>
              <w:rPr>
                <w:rFonts w:eastAsia="Times New Roman" w:cs="Times New Roman"/>
              </w:rPr>
              <w:t xml:space="preserve"> pop </w:t>
            </w:r>
          </w:p>
        </w:tc>
        <w:tc>
          <w:tcPr>
            <w:tcW w:w="0" w:type="auto"/>
            <w:tcBorders>
              <w:top w:val="dashSmallGap" w:sz="4" w:space="0" w:color="auto"/>
              <w:left w:val="single" w:sz="6" w:space="0" w:color="auto"/>
              <w:bottom w:val="dashSmallGap" w:sz="4" w:space="0" w:color="auto"/>
              <w:right w:val="nil"/>
            </w:tcBorders>
            <w:shd w:val="clear" w:color="auto" w:fill="auto"/>
            <w:hideMark/>
          </w:tcPr>
          <w:p w14:paraId="0EAA1B31"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0.5645 </w:t>
            </w:r>
          </w:p>
        </w:tc>
        <w:tc>
          <w:tcPr>
            <w:tcW w:w="0" w:type="auto"/>
            <w:tcBorders>
              <w:top w:val="dashSmallGap" w:sz="4" w:space="0" w:color="auto"/>
              <w:left w:val="nil"/>
              <w:bottom w:val="dashSmallGap" w:sz="4" w:space="0" w:color="auto"/>
              <w:right w:val="nil"/>
            </w:tcBorders>
            <w:shd w:val="clear" w:color="auto" w:fill="auto"/>
            <w:hideMark/>
          </w:tcPr>
          <w:p w14:paraId="2EE1DC00"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0.7569 </w:t>
            </w:r>
          </w:p>
        </w:tc>
        <w:tc>
          <w:tcPr>
            <w:tcW w:w="0" w:type="auto"/>
            <w:tcBorders>
              <w:top w:val="dashSmallGap" w:sz="4" w:space="0" w:color="auto"/>
              <w:left w:val="nil"/>
              <w:bottom w:val="dashSmallGap" w:sz="4" w:space="0" w:color="auto"/>
              <w:right w:val="nil"/>
            </w:tcBorders>
            <w:shd w:val="clear" w:color="auto" w:fill="auto"/>
            <w:hideMark/>
          </w:tcPr>
          <w:p w14:paraId="29C1C47E"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0.7000 </w:t>
            </w:r>
          </w:p>
        </w:tc>
      </w:tr>
      <w:tr w:rsidR="00A760F7" w14:paraId="25BE6756" w14:textId="77777777" w:rsidTr="007A01BC">
        <w:trPr>
          <w:cnfStyle w:val="000000100000" w:firstRow="0" w:lastRow="0" w:firstColumn="0" w:lastColumn="0" w:oddVBand="0" w:evenVBand="0" w:oddHBand="1" w:evenHBand="0" w:firstRowFirstColumn="0" w:firstRowLastColumn="0" w:lastRowFirstColumn="0" w:lastRowLastColumn="0"/>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3B7E2BA7" w14:textId="77777777" w:rsidR="00A760F7" w:rsidRDefault="00A760F7">
            <w:pPr>
              <w:jc w:val="right"/>
              <w:rPr>
                <w:rFonts w:ascii="Times" w:eastAsia="Times New Roman" w:hAnsi="Times" w:cs="Times New Roman"/>
              </w:rPr>
            </w:pPr>
            <w:proofErr w:type="spellStart"/>
            <w:r>
              <w:rPr>
                <w:rFonts w:eastAsia="Times New Roman" w:cs="Times New Roman"/>
              </w:rPr>
              <w:t>SpStd</w:t>
            </w:r>
            <w:proofErr w:type="spellEnd"/>
            <w:r>
              <w:rPr>
                <w:rFonts w:eastAsia="Times New Roman" w:cs="Times New Roman"/>
              </w:rPr>
              <w:t xml:space="preserve"> vaccine pop </w:t>
            </w:r>
          </w:p>
        </w:tc>
        <w:tc>
          <w:tcPr>
            <w:tcW w:w="0" w:type="auto"/>
            <w:tcBorders>
              <w:top w:val="dashSmallGap" w:sz="4" w:space="0" w:color="auto"/>
              <w:left w:val="single" w:sz="6" w:space="0" w:color="auto"/>
              <w:bottom w:val="dashSmallGap" w:sz="4" w:space="0" w:color="auto"/>
            </w:tcBorders>
            <w:shd w:val="clear" w:color="auto" w:fill="auto"/>
            <w:hideMark/>
          </w:tcPr>
          <w:p w14:paraId="725D6D26"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0.5437 </w:t>
            </w:r>
          </w:p>
        </w:tc>
        <w:tc>
          <w:tcPr>
            <w:tcW w:w="0" w:type="auto"/>
            <w:tcBorders>
              <w:top w:val="dashSmallGap" w:sz="4" w:space="0" w:color="auto"/>
              <w:bottom w:val="dashSmallGap" w:sz="4" w:space="0" w:color="auto"/>
            </w:tcBorders>
            <w:shd w:val="clear" w:color="auto" w:fill="auto"/>
            <w:hideMark/>
          </w:tcPr>
          <w:p w14:paraId="05312F96"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0.5645 </w:t>
            </w:r>
          </w:p>
        </w:tc>
        <w:tc>
          <w:tcPr>
            <w:tcW w:w="0" w:type="auto"/>
            <w:tcBorders>
              <w:top w:val="dashSmallGap" w:sz="4" w:space="0" w:color="auto"/>
              <w:bottom w:val="dashSmallGap" w:sz="4" w:space="0" w:color="auto"/>
              <w:right w:val="nil"/>
            </w:tcBorders>
            <w:shd w:val="clear" w:color="auto" w:fill="auto"/>
            <w:hideMark/>
          </w:tcPr>
          <w:p w14:paraId="4AFB4CCE"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0.5500 </w:t>
            </w:r>
          </w:p>
        </w:tc>
      </w:tr>
      <w:tr w:rsidR="00A760F7" w14:paraId="7ACC78DE" w14:textId="77777777" w:rsidTr="007A01BC">
        <w:trPr>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148F0252" w14:textId="77777777" w:rsidR="00A760F7" w:rsidRDefault="00A760F7">
            <w:pPr>
              <w:jc w:val="right"/>
              <w:rPr>
                <w:rFonts w:ascii="Times" w:eastAsia="Times New Roman" w:hAnsi="Times" w:cs="Times New Roman"/>
              </w:rPr>
            </w:pPr>
            <w:proofErr w:type="spellStart"/>
            <w:r>
              <w:rPr>
                <w:rFonts w:eastAsia="Times New Roman" w:cs="Times New Roman"/>
              </w:rPr>
              <w:t>SpStd</w:t>
            </w:r>
            <w:proofErr w:type="spellEnd"/>
            <w:r>
              <w:rPr>
                <w:rFonts w:eastAsia="Times New Roman" w:cs="Times New Roman"/>
              </w:rPr>
              <w:t xml:space="preserve"> </w:t>
            </w:r>
            <w:proofErr w:type="spellStart"/>
            <w:r>
              <w:rPr>
                <w:rFonts w:eastAsia="Times New Roman" w:cs="Times New Roman"/>
              </w:rPr>
              <w:t>nonvaccine</w:t>
            </w:r>
            <w:proofErr w:type="spellEnd"/>
            <w:r>
              <w:rPr>
                <w:rFonts w:eastAsia="Times New Roman" w:cs="Times New Roman"/>
              </w:rPr>
              <w:t xml:space="preserve"> pop </w:t>
            </w:r>
          </w:p>
        </w:tc>
        <w:tc>
          <w:tcPr>
            <w:tcW w:w="0" w:type="auto"/>
            <w:tcBorders>
              <w:top w:val="dashSmallGap" w:sz="4" w:space="0" w:color="auto"/>
              <w:left w:val="single" w:sz="6" w:space="0" w:color="auto"/>
              <w:bottom w:val="dashSmallGap" w:sz="4" w:space="0" w:color="auto"/>
              <w:right w:val="nil"/>
            </w:tcBorders>
            <w:shd w:val="clear" w:color="auto" w:fill="auto"/>
            <w:hideMark/>
          </w:tcPr>
          <w:p w14:paraId="4D58C07B"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0.9943 </w:t>
            </w:r>
          </w:p>
        </w:tc>
        <w:tc>
          <w:tcPr>
            <w:tcW w:w="0" w:type="auto"/>
            <w:tcBorders>
              <w:top w:val="dashSmallGap" w:sz="4" w:space="0" w:color="auto"/>
              <w:left w:val="nil"/>
              <w:bottom w:val="dashSmallGap" w:sz="4" w:space="0" w:color="auto"/>
              <w:right w:val="nil"/>
            </w:tcBorders>
            <w:shd w:val="clear" w:color="auto" w:fill="auto"/>
            <w:hideMark/>
          </w:tcPr>
          <w:p w14:paraId="60DD0D77"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1.0000 </w:t>
            </w:r>
          </w:p>
        </w:tc>
        <w:tc>
          <w:tcPr>
            <w:tcW w:w="0" w:type="auto"/>
            <w:tcBorders>
              <w:top w:val="dashSmallGap" w:sz="4" w:space="0" w:color="auto"/>
              <w:left w:val="nil"/>
              <w:bottom w:val="dashSmallGap" w:sz="4" w:space="0" w:color="auto"/>
              <w:right w:val="nil"/>
            </w:tcBorders>
            <w:shd w:val="clear" w:color="auto" w:fill="auto"/>
            <w:hideMark/>
          </w:tcPr>
          <w:p w14:paraId="1B5A85D2"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0.9970 </w:t>
            </w:r>
          </w:p>
        </w:tc>
      </w:tr>
      <w:tr w:rsidR="00A760F7" w14:paraId="1B566FBB" w14:textId="77777777" w:rsidTr="007A01BC">
        <w:trPr>
          <w:cnfStyle w:val="000000100000" w:firstRow="0" w:lastRow="0" w:firstColumn="0" w:lastColumn="0" w:oddVBand="0" w:evenVBand="0" w:oddHBand="1" w:evenHBand="0" w:firstRowFirstColumn="0" w:firstRowLastColumn="0" w:lastRowFirstColumn="0" w:lastRowLastColumn="0"/>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1145C39A" w14:textId="77777777" w:rsidR="00A760F7" w:rsidRDefault="00A760F7">
            <w:pPr>
              <w:jc w:val="right"/>
              <w:rPr>
                <w:rFonts w:ascii="Times" w:eastAsia="Times New Roman" w:hAnsi="Times" w:cs="Times New Roman"/>
              </w:rPr>
            </w:pPr>
            <w:proofErr w:type="spellStart"/>
            <w:r>
              <w:rPr>
                <w:rFonts w:eastAsia="Times New Roman" w:cs="Times New Roman"/>
              </w:rPr>
              <w:t>SpViva</w:t>
            </w:r>
            <w:proofErr w:type="spellEnd"/>
            <w:r>
              <w:rPr>
                <w:rFonts w:eastAsia="Times New Roman" w:cs="Times New Roman"/>
              </w:rPr>
              <w:t xml:space="preserve"> vaccine pop </w:t>
            </w:r>
          </w:p>
        </w:tc>
        <w:tc>
          <w:tcPr>
            <w:tcW w:w="0" w:type="auto"/>
            <w:tcBorders>
              <w:top w:val="dashSmallGap" w:sz="4" w:space="0" w:color="auto"/>
              <w:left w:val="single" w:sz="6" w:space="0" w:color="auto"/>
              <w:bottom w:val="dashSmallGap" w:sz="4" w:space="0" w:color="auto"/>
            </w:tcBorders>
            <w:shd w:val="clear" w:color="auto" w:fill="auto"/>
            <w:hideMark/>
          </w:tcPr>
          <w:p w14:paraId="3C6DB49A"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0.9932 </w:t>
            </w:r>
          </w:p>
        </w:tc>
        <w:tc>
          <w:tcPr>
            <w:tcW w:w="0" w:type="auto"/>
            <w:tcBorders>
              <w:top w:val="dashSmallGap" w:sz="4" w:space="0" w:color="auto"/>
              <w:bottom w:val="dashSmallGap" w:sz="4" w:space="0" w:color="auto"/>
            </w:tcBorders>
            <w:shd w:val="clear" w:color="auto" w:fill="auto"/>
            <w:hideMark/>
          </w:tcPr>
          <w:p w14:paraId="57B640A0"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1.0000 </w:t>
            </w:r>
          </w:p>
        </w:tc>
        <w:tc>
          <w:tcPr>
            <w:tcW w:w="0" w:type="auto"/>
            <w:tcBorders>
              <w:top w:val="dashSmallGap" w:sz="4" w:space="0" w:color="auto"/>
              <w:bottom w:val="dashSmallGap" w:sz="4" w:space="0" w:color="auto"/>
              <w:right w:val="nil"/>
            </w:tcBorders>
            <w:shd w:val="clear" w:color="auto" w:fill="auto"/>
            <w:hideMark/>
          </w:tcPr>
          <w:p w14:paraId="05DA1B50" w14:textId="77777777" w:rsidR="00A760F7" w:rsidRDefault="00A760F7">
            <w:pPr>
              <w:jc w:val="right"/>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rPr>
            </w:pPr>
            <w:r>
              <w:rPr>
                <w:rFonts w:eastAsia="Times New Roman" w:cs="Times New Roman"/>
              </w:rPr>
              <w:t xml:space="preserve">0.9990 </w:t>
            </w:r>
          </w:p>
        </w:tc>
      </w:tr>
      <w:tr w:rsidR="00A760F7" w14:paraId="3F9C3A81" w14:textId="77777777" w:rsidTr="007A01BC">
        <w:trPr>
          <w:divId w:val="1690183995"/>
        </w:trPr>
        <w:tc>
          <w:tcPr>
            <w:cnfStyle w:val="001000000000" w:firstRow="0" w:lastRow="0" w:firstColumn="1" w:lastColumn="0" w:oddVBand="0" w:evenVBand="0" w:oddHBand="0" w:evenHBand="0" w:firstRowFirstColumn="0" w:firstRowLastColumn="0" w:lastRowFirstColumn="0" w:lastRowLastColumn="0"/>
            <w:tcW w:w="0" w:type="auto"/>
            <w:tcBorders>
              <w:right w:val="single" w:sz="6" w:space="0" w:color="auto"/>
            </w:tcBorders>
            <w:hideMark/>
          </w:tcPr>
          <w:p w14:paraId="5E091E17" w14:textId="77777777" w:rsidR="00A760F7" w:rsidRDefault="00A760F7">
            <w:pPr>
              <w:jc w:val="right"/>
              <w:rPr>
                <w:rFonts w:ascii="Times" w:eastAsia="Times New Roman" w:hAnsi="Times" w:cs="Times New Roman"/>
              </w:rPr>
            </w:pPr>
            <w:proofErr w:type="spellStart"/>
            <w:r>
              <w:rPr>
                <w:rFonts w:eastAsia="Times New Roman" w:cs="Times New Roman"/>
              </w:rPr>
              <w:t>SpViva</w:t>
            </w:r>
            <w:proofErr w:type="spellEnd"/>
            <w:r>
              <w:rPr>
                <w:rFonts w:eastAsia="Times New Roman" w:cs="Times New Roman"/>
              </w:rPr>
              <w:t xml:space="preserve"> </w:t>
            </w:r>
            <w:proofErr w:type="spellStart"/>
            <w:r>
              <w:rPr>
                <w:rFonts w:eastAsia="Times New Roman" w:cs="Times New Roman"/>
              </w:rPr>
              <w:t>nonvaccine</w:t>
            </w:r>
            <w:proofErr w:type="spellEnd"/>
            <w:r>
              <w:rPr>
                <w:rFonts w:eastAsia="Times New Roman" w:cs="Times New Roman"/>
              </w:rPr>
              <w:t xml:space="preserve"> pop </w:t>
            </w:r>
          </w:p>
        </w:tc>
        <w:tc>
          <w:tcPr>
            <w:tcW w:w="0" w:type="auto"/>
            <w:tcBorders>
              <w:top w:val="dashSmallGap" w:sz="4" w:space="0" w:color="auto"/>
              <w:left w:val="single" w:sz="6" w:space="0" w:color="auto"/>
              <w:bottom w:val="nil"/>
              <w:right w:val="nil"/>
            </w:tcBorders>
            <w:shd w:val="clear" w:color="auto" w:fill="auto"/>
            <w:hideMark/>
          </w:tcPr>
          <w:p w14:paraId="1ED44B4C"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0.9939 </w:t>
            </w:r>
          </w:p>
        </w:tc>
        <w:tc>
          <w:tcPr>
            <w:tcW w:w="0" w:type="auto"/>
            <w:tcBorders>
              <w:top w:val="dashSmallGap" w:sz="4" w:space="0" w:color="auto"/>
              <w:left w:val="nil"/>
              <w:bottom w:val="nil"/>
              <w:right w:val="nil"/>
            </w:tcBorders>
            <w:shd w:val="clear" w:color="auto" w:fill="auto"/>
            <w:hideMark/>
          </w:tcPr>
          <w:p w14:paraId="51596E83"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1.0000 </w:t>
            </w:r>
          </w:p>
        </w:tc>
        <w:tc>
          <w:tcPr>
            <w:tcW w:w="0" w:type="auto"/>
            <w:tcBorders>
              <w:top w:val="dashSmallGap" w:sz="4" w:space="0" w:color="auto"/>
              <w:left w:val="nil"/>
              <w:bottom w:val="nil"/>
              <w:right w:val="nil"/>
            </w:tcBorders>
            <w:shd w:val="clear" w:color="auto" w:fill="auto"/>
            <w:hideMark/>
          </w:tcPr>
          <w:p w14:paraId="6EF17180" w14:textId="77777777" w:rsidR="00A760F7" w:rsidRDefault="00A760F7">
            <w:pPr>
              <w:jc w:val="right"/>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rPr>
            </w:pPr>
            <w:r>
              <w:rPr>
                <w:rFonts w:eastAsia="Times New Roman" w:cs="Times New Roman"/>
              </w:rPr>
              <w:t xml:space="preserve">0.9990 </w:t>
            </w:r>
          </w:p>
        </w:tc>
      </w:tr>
    </w:tbl>
    <w:p w14:paraId="677D3C34" w14:textId="77777777" w:rsidR="00A760F7" w:rsidRDefault="00A760F7">
      <w:pPr>
        <w:divId w:val="1690183995"/>
        <w:rPr>
          <w:rFonts w:eastAsia="Times New Roman" w:cs="Times New Roman"/>
        </w:rPr>
      </w:pPr>
    </w:p>
    <w:p w14:paraId="79DEBEAB" w14:textId="77777777" w:rsidR="00A760F7" w:rsidRDefault="00A760F7">
      <w:pPr>
        <w:divId w:val="1826584877"/>
        <w:rPr>
          <w:rFonts w:eastAsia="Times New Roman" w:cs="Times New Roman"/>
        </w:rPr>
      </w:pPr>
    </w:p>
    <w:p w14:paraId="0BBA6B05" w14:textId="4D7E3910" w:rsidR="001B0AE7" w:rsidRDefault="007A01BC" w:rsidP="00AE4A22">
      <w:pPr>
        <w:rPr>
          <w:b/>
        </w:rPr>
      </w:pPr>
      <w:r w:rsidRPr="007A01BC">
        <w:rPr>
          <w:b/>
        </w:rPr>
        <w:t>Recommendations</w:t>
      </w:r>
    </w:p>
    <w:p w14:paraId="0609C7B6" w14:textId="77777777" w:rsidR="005A3BF2" w:rsidRDefault="005A3BF2" w:rsidP="00AE4A22">
      <w:pPr>
        <w:rPr>
          <w:b/>
        </w:rPr>
      </w:pPr>
    </w:p>
    <w:p w14:paraId="403F5467" w14:textId="5895D19A" w:rsidR="005A3BF2" w:rsidRDefault="005A3BF2" w:rsidP="00AE4A22">
      <w:pPr>
        <w:rPr>
          <w:b/>
        </w:rPr>
      </w:pPr>
      <w:r>
        <w:rPr>
          <w:b/>
        </w:rPr>
        <w:t>Appendix</w:t>
      </w:r>
    </w:p>
    <w:p w14:paraId="2FB8138C" w14:textId="77777777" w:rsidR="00A84E7F" w:rsidRDefault="00A84E7F" w:rsidP="00AE4A22">
      <w:pPr>
        <w:rPr>
          <w:b/>
        </w:rPr>
      </w:pPr>
    </w:p>
    <w:p w14:paraId="43D2B627" w14:textId="540F7782" w:rsidR="00A84E7F" w:rsidRDefault="00A84E7F" w:rsidP="00AE4A22">
      <w:pPr>
        <w:rPr>
          <w:b/>
        </w:rPr>
      </w:pPr>
      <w:r>
        <w:rPr>
          <w:b/>
        </w:rPr>
        <w:t xml:space="preserve">References </w:t>
      </w:r>
    </w:p>
    <w:p w14:paraId="05A2DD46" w14:textId="77777777" w:rsidR="00A84E7F" w:rsidRDefault="00A84E7F" w:rsidP="00AE4A22">
      <w:pPr>
        <w:rPr>
          <w:b/>
        </w:rPr>
      </w:pPr>
    </w:p>
    <w:p w14:paraId="70688F17" w14:textId="0265D6B9" w:rsidR="00A84E7F" w:rsidRDefault="00A84E7F" w:rsidP="00AE4A22">
      <w:pPr>
        <w:rPr>
          <w:b/>
        </w:rPr>
      </w:pPr>
      <w:r>
        <w:rPr>
          <w:b/>
        </w:rPr>
        <w:t>Refs to add</w:t>
      </w:r>
    </w:p>
    <w:p w14:paraId="76464F87" w14:textId="21D1CEE1" w:rsidR="00A84E7F" w:rsidRDefault="00A84E7F" w:rsidP="00AE4A22">
      <w:pPr>
        <w:rPr>
          <w:rFonts w:ascii="Helvetica" w:hAnsi="Helvetica" w:cs="Helvetica"/>
        </w:rPr>
      </w:pPr>
      <w:proofErr w:type="spellStart"/>
      <w:r>
        <w:rPr>
          <w:b/>
        </w:rPr>
        <w:t>Btb</w:t>
      </w:r>
      <w:proofErr w:type="spellEnd"/>
      <w:r>
        <w:rPr>
          <w:b/>
        </w:rPr>
        <w:t xml:space="preserve"> </w:t>
      </w:r>
      <w:proofErr w:type="gramStart"/>
      <w:r>
        <w:rPr>
          <w:b/>
        </w:rPr>
        <w:t xml:space="preserve">vaccine </w:t>
      </w:r>
      <w:r>
        <w:rPr>
          <w:rFonts w:ascii="Helvetica" w:hAnsi="Helvetica" w:cs="Helvetica"/>
        </w:rPr>
        <w:t xml:space="preserve"> </w:t>
      </w:r>
      <w:proofErr w:type="gramEnd"/>
      <w:r>
        <w:rPr>
          <w:rFonts w:ascii="Helvetica" w:hAnsi="Helvetica" w:cs="Helvetica"/>
        </w:rPr>
        <w:fldChar w:fldCharType="begin"/>
      </w:r>
      <w:r>
        <w:rPr>
          <w:rFonts w:ascii="Helvetica" w:hAnsi="Helvetica" w:cs="Helvetica"/>
        </w:rPr>
        <w:instrText xml:space="preserve"> ADDIN ZOTERO_ITEM CSL_CITATION {"citationID":"RJLRucIq","properties":{"formattedCitation":"(Waters et al. 2012)","plainCitation":"(Waters et al. 2012)"},"citationItems":[{"id":722,"uris":["http://zotero.org/users/local/t0KtVTqA/items/MWRS5F7Q"],"uri":["http://zotero.org/users/local/t0KtVTqA/items/MWRS5F7Q"],"itemData":{"id":722,"type":"article-journal","title":"Bovine tuberculosis vaccine research: Historical perspectives and recent advances","container-title":"Vaccine","page":"2611-2622","volume":"30","issue":"16","source":"ScienceDirect","abstract":"The emergence of wildlife reservoirs of Mycobacterium bovis infection in cattle as well as increased inter-regional trade with associated spread of M. bovis has led to renewed interest in the use of vaccines for the control of bovine tuberculosis (TB). Field efficacy trials performed in the early 20th century demonstrated the partial effectiveness of bacilli Calmette–Guerin (BCG) for the control of bovine TB. Recent experimental trials with cattle have demonstrated that: (1) subunit vaccines may boost immunity elicited by BCG in cattle, (2) T cell central memory immune responses evoked by protective vaccines correlate with protection upon subsequent M. bovis challenge, (3) BCG is particularly protective when administered to neonates, and (4) differentiation of infected from vaccinated animals (DIVA) is feasible in cattle using in vitro or in vivo methods. In regards to wildlife reservoirs, the efficacy of BCG delivered orally has been demonstrated for brushtail possums (in field trials) as well as Eurasian badgers, wild boar, and white-tailed deer (each in experimental challenge studies). Vaccine delivery to wildlife reservoirs will primarily be oral, although a parenteral route is being deployed for badgers in England. Vaccine efficacy trials, both experimental challenge and field studies, with cattle and their wildlife reservoirs represent a primary example of the one health approach, with outcomes relevant for both veterinary and medical applications.","DOI":"10.1016/j.vaccine.2012.02.018","ISSN":"0264-410X","shortTitle":"Bovine tuberculosis vaccine research","journalAbbreviation":"Vaccine","author":[{"family":"Waters","given":"W. Ray"},{"family":"Palmer","given":"Mitchell V."},{"family":"Buddle","given":"Bryce M."},{"family":"Vordermeier","given":"H. Martin"}],"issued":{"date-parts":[["2012",3,30]]},"accessed":{"date-parts":[["2014",2,24]]}}}],"schema":"https://github.com/citation-style-language/schema/raw/master/csl-citation.json"} </w:instrText>
      </w:r>
      <w:r>
        <w:rPr>
          <w:rFonts w:ascii="Helvetica" w:hAnsi="Helvetica" w:cs="Helvetica"/>
        </w:rPr>
        <w:fldChar w:fldCharType="separate"/>
      </w:r>
      <w:r>
        <w:rPr>
          <w:rFonts w:ascii="Helvetica" w:hAnsi="Helvetica" w:cs="Helvetica"/>
          <w:noProof/>
        </w:rPr>
        <w:t>Waters et al. 2012</w:t>
      </w:r>
      <w:r>
        <w:rPr>
          <w:rFonts w:ascii="Helvetica" w:hAnsi="Helvetica" w:cs="Helvetica"/>
        </w:rPr>
        <w:fldChar w:fldCharType="end"/>
      </w:r>
    </w:p>
    <w:p w14:paraId="08FA591F" w14:textId="71F3E9BE" w:rsidR="00A84E7F" w:rsidRDefault="00A84E7F" w:rsidP="00AE4A22">
      <w:pPr>
        <w:rPr>
          <w:rFonts w:ascii="Helvetica" w:hAnsi="Helvetica" w:cs="Helvetica"/>
        </w:rPr>
      </w:pPr>
      <w:proofErr w:type="spellStart"/>
      <w:r>
        <w:rPr>
          <w:rFonts w:ascii="Helvetica" w:hAnsi="Helvetica" w:cs="Helvetica"/>
        </w:rPr>
        <w:t>Interferance</w:t>
      </w:r>
      <w:proofErr w:type="spellEnd"/>
      <w:r>
        <w:rPr>
          <w:rFonts w:ascii="Helvetica" w:hAnsi="Helvetica" w:cs="Helvetica"/>
        </w:rPr>
        <w:t xml:space="preserve"> with skin test </w:t>
      </w:r>
      <w:r>
        <w:rPr>
          <w:rFonts w:ascii="Helvetica" w:hAnsi="Helvetica" w:cs="Helvetica"/>
        </w:rPr>
        <w:fldChar w:fldCharType="begin"/>
      </w:r>
      <w:r>
        <w:rPr>
          <w:rFonts w:ascii="Helvetica" w:hAnsi="Helvetica" w:cs="Helvetica"/>
        </w:rPr>
        <w:instrText xml:space="preserve"> ADDIN ZOTERO_ITEM CSL_CITATION {"citationID":"bELoyNTU","properties":{"formattedCitation":"(Whelan et al. 2011)","plainCitation":"(Whelan et al. 2011)"},"citationItems":[{"id":699,"uris":["http://zotero.org/users/local/t0KtVTqA/items/EWTKE6JC"],"uri":["http://zotero.org/users/local/t0KtVTqA/items/EWTKE6JC"],"itemData":{"id":699,"type":"article-journal","title":"Lack of correlation between BCG-induced tuberculin skin test sensitisation and protective immunity in cattle","container-title":"Vaccine","page":"5453-5458","volume":"29","issue":"33","source":"ScienceDirect","abstract":"Vaccination of cattle with Mycobacterium bovis Bacille Calmette-Guérin (BCG) can provide significant protection against bovine tuberculosis (TB). However, BCG vaccination sensitises animals to respond to the tuberculin skin-test. This provides a potential operational impediment to the use of BCG as a cattle vaccine since the tuberculin skin-test is the primary surveillance tool used by many countries with ‘test and slaughter’ control strategies. Currently, it is also unclear what BCG-induced skin-test conversion means in respects to BCG's protective immunity. In the current study we first investigated the duration of tuberculin skin-test sensitisation in calves neonatally vaccinated with BCG. BCG vaccination induced strong skin-test responses in calves during their first 6 months. However, a rapid decay in skin-test sensitivity was observed after this time. Between 6 and 9 months this represented a reduction from 80% to 8% of calves providing a positive response in the single intradermal comparative cervical tuberculin test at standard interpretation. We next investigated the relationship between BCG induced skin-test sensitivity and retention of protective immunity. Calves were neonatally vaccinated with BCG and subsequently divided into 2 groups based on retention or loss of tuberculin skin-test responses after 6 months. In contrast to their skin-test responsiveness, these vaccinates maintained their tuberculin specific IFN-γ blood responses. Moreover, irrespective of their pre-challenge skin-test responses, following M. bovis challenge both groups of BCG vaccinated calves demonstrated comparable levels of protection, as evidenced by reduced TB-associated pathology. Therefore, we have demonstrated that following neonatal BCG vaccination of cattle, tuberculin skin-test responder frequencies waned rapidly after 6 months but importantly, loss of skin-test sensitivity did not correlate with loss of protective immunity. These findings could have implications for the practical application of BCG based cattle vaccines.","DOI":"10.1016/j.vaccine.2011.05.057","ISSN":"0264-410X","journalAbbreviation":"Vaccine","author":[{"family":"Whelan","given":"A. O."},{"family":"Coad","given":"M."},{"family":"Upadhyay","given":"B. L."},{"family":"Clifford","given":"D. J."},{"family":"Hewinson","given":"R. G."},{"family":"Vordermeier","given":"H. M."}],"issued":{"date-parts":[["2011",7,26]]},"accessed":{"date-parts":[["2014",2,5]]}}}],"schema":"https://github.com/citation-style-language/schema/raw/master/csl-citation.json"} </w:instrText>
      </w:r>
      <w:r>
        <w:rPr>
          <w:rFonts w:ascii="Helvetica" w:hAnsi="Helvetica" w:cs="Helvetica"/>
        </w:rPr>
        <w:fldChar w:fldCharType="separate"/>
      </w:r>
      <w:r>
        <w:rPr>
          <w:rFonts w:ascii="Helvetica" w:hAnsi="Helvetica" w:cs="Helvetica"/>
          <w:noProof/>
        </w:rPr>
        <w:t>(Whelan et al. 2011)</w:t>
      </w:r>
      <w:r>
        <w:rPr>
          <w:rFonts w:ascii="Helvetica" w:hAnsi="Helvetica" w:cs="Helvetica"/>
        </w:rPr>
        <w:fldChar w:fldCharType="end"/>
      </w:r>
    </w:p>
    <w:p w14:paraId="355B0294" w14:textId="00BD9ABF" w:rsidR="00A84E7F" w:rsidRDefault="00A84E7F" w:rsidP="00AE4A22">
      <w:pPr>
        <w:rPr>
          <w:rFonts w:ascii="Helvetica" w:hAnsi="Helvetica" w:cs="Helvetica"/>
        </w:rPr>
      </w:pPr>
      <w:r>
        <w:rPr>
          <w:rFonts w:ascii="Helvetica" w:hAnsi="Helvetica" w:cs="Helvetica"/>
        </w:rPr>
        <w:t xml:space="preserve">Eradication strategies </w:t>
      </w:r>
      <w:proofErr w:type="spellStart"/>
      <w:r>
        <w:rPr>
          <w:rFonts w:ascii="Helvetica" w:hAnsi="Helvetica" w:cs="Helvetica"/>
        </w:rPr>
        <w:t>Conlan</w:t>
      </w:r>
      <w:proofErr w:type="spellEnd"/>
      <w:r>
        <w:rPr>
          <w:rFonts w:ascii="Helvetica" w:hAnsi="Helvetica" w:cs="Helvetica"/>
        </w:rPr>
        <w:t xml:space="preserve"> </w:t>
      </w:r>
      <w:proofErr w:type="spellStart"/>
      <w:r>
        <w:rPr>
          <w:rFonts w:ascii="Helvetica" w:hAnsi="Helvetica" w:cs="Helvetica"/>
        </w:rPr>
        <w:t>etal</w:t>
      </w:r>
      <w:proofErr w:type="spellEnd"/>
      <w:r>
        <w:rPr>
          <w:rFonts w:ascii="Helvetica" w:hAnsi="Helvetica" w:cs="Helvetica"/>
        </w:rPr>
        <w:t xml:space="preserve"> 2012</w:t>
      </w:r>
    </w:p>
    <w:p w14:paraId="6F0866A8" w14:textId="1A4BABC5" w:rsidR="00A84E7F" w:rsidRDefault="00A84E7F" w:rsidP="00AE4A22">
      <w:pPr>
        <w:rPr>
          <w:rFonts w:ascii="Helvetica" w:hAnsi="Helvetica"/>
          <w:szCs w:val="20"/>
        </w:rPr>
      </w:pPr>
      <w:r>
        <w:rPr>
          <w:rFonts w:ascii="Helvetica" w:hAnsi="Helvetica" w:cs="Helvetica"/>
        </w:rPr>
        <w:t xml:space="preserve">DIVA tests </w:t>
      </w:r>
      <w:r>
        <w:rPr>
          <w:rFonts w:ascii="Helvetica" w:hAnsi="Helvetica"/>
          <w:szCs w:val="20"/>
        </w:rPr>
        <w:fldChar w:fldCharType="begin"/>
      </w:r>
      <w:r>
        <w:rPr>
          <w:rFonts w:ascii="Helvetica" w:hAnsi="Helvetica"/>
          <w:szCs w:val="20"/>
        </w:rPr>
        <w:instrText xml:space="preserve"> ADDIN ZOTERO_ITEM CSL_CITATION {"citationID":"JRaJJBWY","properties":{"formattedCitation":"(Vordermeier, Gordon, and Hewinson 2011; Jones et al. 2012)","plainCitation":"(Vordermeier, Gordon, and Hewinson 2011; Jones et al. 2012)"},"citationItems":[{"id":719,"uris":["http://zotero.org/users/local/t0KtVTqA/items/UX7F9I7T"],"uri":["http://zotero.org/users/local/t0KtVTqA/items/UX7F9I7T"],"itemData":{"id":719,"type":"article-journal","title":"Mycobacterium bovis antigens for the differential diagnosis of vaccinated and infected cattle","container-title":"Veterinary Microbiology","page":"8-13","volume":"151","issue":"1–2","source":"ScienceDirect","abstract":"The urgency for new and improved cattle vaccines and diagnostic reagents for Bovine tuberculosis (TB) has made their development a research priority in Great Britain (GB). Significant progress has been made to develop specific antigens that allow the differentiation of BCG vaccinated and Mycobacterium bovis infected cattle (DIVA test). This has been greatly facilitated by the completion of the genome sequences of M. tuberculosis, M. bovis and BCG Pasteur and the subsequent application of comparative genome and transcriptome analysis to define DIVA antigens that complemented the prototype DIVA antigens ESAT-6 and CFP-10 by increasing their test sensitivity. Finally, we present an up-date of our current approaches in this area.","DOI":"10.1016/j.vetmic.2011.02.020","ISSN":"0378-1135","journalAbbreviation":"Veterinary Microbiology","author":[{"family":"Vordermeier","given":"Martin"},{"family":"Gordon","given":"Stephen V."},{"family":"Hewinson","given":"R. Glyn"}],"issued":{"date-parts":[["2011",7,5]]},"accessed":{"date-parts":[["2014",2,21]]}}},{"id":715,"uris":["http://zotero.org/users/local/t0KtVTqA/items/XGUC77ME"],"uri":["http://zotero.org/users/local/t0KtVTqA/items/XGUC77ME"],"itemData":{"id":715,"type":"article-journal","title":"Improved Skin Test for Differential Diagnosis of Bovine Tuberculosis by the Addition of Rv3020c-Derived Peptides","container-title":"Clinical and Vaccine Immunology","page":"620-622","volume":"19","issue":"4","source":"cvi.asm.org","abstract":"A peptide cocktail derived from the mycobacterial antigens ESAT-6, CFP-10, and Rv3615c allowed differentiation between Mycobacterium bovis-infected and M. bovis bacillus Calmette-Guérin (BCG)-vaccinated cattle when used as a skin test reagent for a “DIVA” test (i.e., a test capable of differentiating infected and uninfected vaccinated animals). Addition of the antigen Rv3020c improves the diagnostic sensitivity without compromising specificity in the face of BCG or Johne's disease vaccination.","DOI":"10.1128/CVI.00024-12","ISSN":"1556-6811, 1556-679X","note":"PMID: 22301696","journalAbbreviation":"Clin. Vaccine Immunol.","language":"en","author":[{"family":"Jones","given":"Gareth J."},{"family":"Whelan","given":"Adam"},{"family":"Clifford","given":"Derek"},{"family":"Coad","given":"Mick"},{"family":"Vordermeier","given":"H. Martin"}],"issued":{"date-parts":[["2012",4,1]]},"accessed":{"date-parts":[["2014",2,21]]},"PMID":"22301696"}}],"schema":"https://github.com/citation-style-language/schema/raw/master/csl-citation.json"} </w:instrText>
      </w:r>
      <w:r>
        <w:rPr>
          <w:rFonts w:ascii="Helvetica" w:hAnsi="Helvetica"/>
          <w:szCs w:val="20"/>
        </w:rPr>
        <w:fldChar w:fldCharType="separate"/>
      </w:r>
      <w:r>
        <w:rPr>
          <w:rFonts w:ascii="Helvetica" w:hAnsi="Helvetica"/>
          <w:noProof/>
          <w:szCs w:val="20"/>
        </w:rPr>
        <w:t>(Vordermeier, Gordon, and Hewinson 2011; Jones et al. 2012)</w:t>
      </w:r>
      <w:r>
        <w:rPr>
          <w:rFonts w:ascii="Helvetica" w:hAnsi="Helvetica"/>
          <w:szCs w:val="20"/>
        </w:rPr>
        <w:fldChar w:fldCharType="end"/>
      </w:r>
    </w:p>
    <w:p w14:paraId="640957F7" w14:textId="28E93B9D" w:rsidR="00A84E7F" w:rsidRDefault="00A84E7F" w:rsidP="00AE4A22">
      <w:pPr>
        <w:rPr>
          <w:rFonts w:ascii="Helvetica" w:hAnsi="Helvetica"/>
        </w:rPr>
      </w:pPr>
      <w:r>
        <w:rPr>
          <w:rFonts w:ascii="Helvetica" w:hAnsi="Helvetica"/>
        </w:rPr>
        <w:t xml:space="preserve">SICCT test has a exceedingly high estimated specificity of &gt; 99.99% </w:t>
      </w:r>
      <w:r>
        <w:rPr>
          <w:rFonts w:ascii="Helvetica" w:hAnsi="Helvetica"/>
        </w:rPr>
        <w:fldChar w:fldCharType="begin"/>
      </w:r>
      <w:r>
        <w:rPr>
          <w:rFonts w:ascii="Helvetica" w:hAnsi="Helvetica"/>
        </w:rPr>
        <w:instrText xml:space="preserve"> ADDIN ZOTERO_ITEM CSL_CITATION {"citationID":"U5MLzZ4v","properties":{"formattedCitation":"(Goodchild and Clifton-Hadley 2001)","plainCitation":"(Goodchild and Clifton-Hadley 2001)"},"citationItems":[{"id":731,"uris":["http://zotero.org/users/local/t0KtVTqA/items/7UFCEVMK"],"uri":["http://zotero.org/users/local/t0KtVTqA/items/7UFCEVMK"],"itemData":{"id":731,"type":"article-journal","title":"Cattle-to-cattle transmission of Mycobacterium bovis","container-title":"Tuberculosis","page":"23-41","volume":"81","issue":"1–2","source":"ScienceDirect","abstract":"This review, illustrated with data on the characteristics of herds infected with Mycobacterium bovis (TB) in Great Britain (GB), attempts to identify the role of cattle-to-cattle transmission (CCT) of TB. CCT plays a part in the entry of infection into herds, through purchased infected animals or contiguous spread, although CCT can have a relatively small role in comparison with an established wildlife source. Experimental studies have shown that it is possible for CCT to occur within herds. In 1999, more than one reactor was found in over two-thirds of confirmed TB incidents in Great Britain. The details of transmission from an infectious animal to a susceptible animal are described: proximate, which depends on factors such as closeness of contact and ventilation, or indirect, which also depends on survival outside the host. Herd size is a risk factor for the incidence of TB, both in herds and in individual cattle. Control of TB is considered in relation to the skin test: failure of the test to remove all infected animals from incidents is possible, but probably of less significance than failure to prevent reinfection from sources external to the herd. It is concluded that CCT may have significance in determining the total number of reactors. Safeguarding herds from other sources of TB is likely to reduce CCT as a side effect.","DOI":"10.1054/tube.2000.0256","ISSN":"1472-9792","journalAbbreviation":"Tuberculosis","author":[{"family":"Goodchild","given":"A. V."},{"family":"Clifton-Hadley","given":"R. S."}],"issued":{"date-parts":[["2001",2]]},"accessed":{"date-parts":[["2014",3,20]]}}}],"schema":"https://github.com/citation-style-language/schema/raw/master/csl-citation.json"} </w:instrText>
      </w:r>
      <w:r>
        <w:rPr>
          <w:rFonts w:ascii="Helvetica" w:hAnsi="Helvetica"/>
        </w:rPr>
        <w:fldChar w:fldCharType="separate"/>
      </w:r>
      <w:r>
        <w:rPr>
          <w:rFonts w:ascii="Helvetica" w:hAnsi="Helvetica"/>
          <w:noProof/>
        </w:rPr>
        <w:t>(Goodchild and Clifton-Hadley 2001)</w:t>
      </w:r>
      <w:r>
        <w:rPr>
          <w:rFonts w:ascii="Helvetica" w:hAnsi="Helvetica"/>
        </w:rPr>
        <w:fldChar w:fldCharType="end"/>
      </w:r>
    </w:p>
    <w:p w14:paraId="16A0C550" w14:textId="6E501E62" w:rsidR="00A84E7F" w:rsidRDefault="00A84E7F" w:rsidP="00AE4A22">
      <w:pPr>
        <w:rPr>
          <w:rFonts w:ascii="Helvetica" w:hAnsi="Helvetica"/>
        </w:rPr>
      </w:pPr>
      <w:proofErr w:type="gramStart"/>
      <w:r>
        <w:rPr>
          <w:rFonts w:ascii="Helvetica" w:hAnsi="Helvetica"/>
        </w:rPr>
        <w:t>sensitivity</w:t>
      </w:r>
      <w:proofErr w:type="gramEnd"/>
      <w:r>
        <w:rPr>
          <w:rFonts w:ascii="Helvetica" w:hAnsi="Helvetica"/>
        </w:rPr>
        <w:t xml:space="preserve"> relative to visible lesions with variable estimates of between 55.1%-95.5% </w:t>
      </w:r>
      <w:r>
        <w:rPr>
          <w:rFonts w:ascii="Helvetica" w:hAnsi="Helvetica"/>
        </w:rPr>
        <w:fldChar w:fldCharType="begin"/>
      </w:r>
      <w:r>
        <w:rPr>
          <w:rFonts w:ascii="Helvetica" w:hAnsi="Helvetica"/>
        </w:rPr>
        <w:instrText xml:space="preserve"> ADDIN ZOTERO_ITEM CSL_CITATION {"citationID":"kHMMmexx","properties":{"formattedCitation":"(de la Rua-Domenech et al. 2006; Katerina Karolemeas et al. 2012)","plainCitation":"(de la Rua-Domenech et al. 2006; Katerina Karolemeas et al. 2012)"},"citationItems":[{"id":644,"uris":["http://zotero.org/users/local/t0KtVTqA/items/3WN6CFTD"],"uri":["http://zotero.org/users/local/t0KtVTqA/items/3WN6CFTD"],"itemData":{"id":644,"type":"article-journal","title":"Ante mortem diagnosis of tuberculosis in cattle: A review of the tuberculin tests, γ-interferon assay and other ancillary diagnostic techniques","container-title":"Research in Veterinary Science","page":"190-210","volume":"81","issue":"2","source":"ScienceDirect","abstract":"The early, preclinical stages of bovine TB can be detected in live animals by the use of tests of cellular immunity (the skin, γ-interferon and lymphocyte transformation tests). Tests of humoral (antibody) immunity, Mycobacterium bovis PCR probes on early tissue cultures or live cattle specimens, and tests based on “electronic nose” technology have been developed more recently. The key measure of diagnostic test accuracy is the relationship between sensitivity and specificity, which determines the false-positive and false-negative proportions. None of the tests currently available for the diagnosis of bovine TB allow a perfectly accurate determination of the M. bovis infection status of cattle. Although various factors can reduce the sensitivity and specificity of the skin tests, these remain the primary ante mortem diagnostic tools for TB in cattle, providing a cost-effective and reliable means of screening entire cattle populations. Despite the inescapable limitations of existing diagnostic tests, bovine TB has been effectively eradicated from many developed countries and regions with the implementation of sound programmes of regular tuberculin skin testing and removal of reactors, coupled with slaughterhouse surveillance for undetected infections, repeat testing and culling of infected herds, cattle movement restrictions to prevent introduction of infected animals and occasional slaughter of entire herds with intractable breakdowns. This is likely to remain the mainstay of bovine TB control programmes for the foreseeable future. Additionally, newer ancillary in vitro diagnostic assays are now available to TB control programme managers to supplement the skin tests in defined circumstances according to the specific disease situation in each country or region. The strategic deployment of ancillary in vitro tests alongside the primary skin tests has enhanced the detection of M. bovis-infected cattle and reduced the number of animals slaughtered as false positives.","DOI":"10.1016/j.rvsc.2005.11.005","ISSN":"0034-5288","shortTitle":"Ante mortem diagnosis of tuberculosis in cattle","journalAbbreviation":"Research in Veterinary Science","author":[{"family":"de la Rua-Domenech","given":"R."},{"family":"Goodchild","given":"A.T."},{"family":"Vordermeier","given":"H.M."},{"family":"Hewinson","given":"R.G."},{"family":"Christiansen","given":"K.H."},{"family":"Clifton-Hadley","given":"R.S."}],"issued":{"date-parts":[["2006",10]]},"accessed":{"date-parts":[["2013",6,5]]}}},{"id":734,"uris":["http://zotero.org/users/local/t0KtVTqA/items/TZGJWFQ6"],"uri":["http://zotero.org/users/local/t0KtVTqA/items/TZGJWFQ6"],"itemData":{"id":734,"type":"article-journal","title":"Estimation of the Relative Sensitivity of the Comparative Tuberculin Skin Test in Tuberculous Cattle Herds Subjected to Depopulation","container-title":"PLoS ONE","page":"e43217","volume":"7","issue":"8","source":"PLoS Journals","abstract":"Bovine tuberculosis (bTB) is one of the most serious economic animal health problems affecting the cattle industry in Great Britain (GB), with incidence in cattle herds increasing since the mid-1980s. The single intradermal comparative cervical tuberculin (SICCT) test is the primary screening test in the bTB surveillance and control programme in GB and Ireland. The sensitivity (ability to detect infected cattle) of this test is central to the efficacy of the current testing regime, but most previous studies that have estimated test sensitivity (relative to the number of slaughtered cattle with visible lesions [VL] and/or positive culture results) lacked post-mortem data for SICCT test-negative cattle. The slaughter of entire herds (“whole herd slaughters” or “depopulations”) that are infected by bTB are occasionally conducted in GB as a last-resort control measure to resolve intractable bTB herd breakdowns. These provide additional post-mortem data for SICCT test-negative cattle, allowing a rare opportunity to calculate the animal-level sensitivity of the test relative to the total number of SICCT test-positive and negative VL animals identified post-mortem (rSe). In this study, data were analysed from 16 whole herd slaughters (748 SICCT test-positive and 1031 SICCT test-negative cattle) conducted in GB between 1988 and 2010, using a Bayesian hierarchical model. The overall rSe estimate of the SICCT test at the severe interpretation was 85% (95% credible interval [CI]: 78–91%), and at standard interpretation was 81% (95% CI: 70–89%). These estimates are more robust than those previously reported in GB due to inclusion of post-mortem data from SICCT test-negative cattle.","DOI":"10.1371/journal.pone.0043217","journalAbbreviation":"PLoS ONE","author":[{"family":"Karolemeas","given":"Katerina"},{"family":"de la Rua-Domenech","given":"Ricardo"},{"family":"Cooper","given":"Roderick"},{"family":"Goodchild","given":"Anthony V."},{"family":"Clifton-Hadley","given":"Richard S."},{"family":"Conlan","given":"Andrew J. K."},{"family":"Mitchell","given":"Andrew P."},{"family":"Hewinson","given":"R. Glyn"},{"family":"Donnelly","given":"Christl A."},{"family":"Wood","given":"James L. N."},{"family":"McKinley","given":"Trevelyan J."}],"issued":{"date-parts":[["2012",8,21]]},"accessed":{"date-parts":[["2014",3,20]]}}}],"schema":"https://github.com/citation-style-language/schema/raw/master/csl-citation.json"} </w:instrText>
      </w:r>
      <w:r>
        <w:rPr>
          <w:rFonts w:ascii="Helvetica" w:hAnsi="Helvetica"/>
        </w:rPr>
        <w:fldChar w:fldCharType="separate"/>
      </w:r>
      <w:r>
        <w:rPr>
          <w:rFonts w:ascii="Helvetica" w:hAnsi="Helvetica"/>
          <w:noProof/>
        </w:rPr>
        <w:t>(de la Rua-Domenech et al. 2006; Katerina Karolemeas et al. 2012)</w:t>
      </w:r>
      <w:r>
        <w:rPr>
          <w:rFonts w:ascii="Helvetica" w:hAnsi="Helvetica"/>
        </w:rPr>
        <w:fldChar w:fldCharType="end"/>
      </w:r>
      <w:r>
        <w:rPr>
          <w:rFonts w:ascii="Helvetica" w:hAnsi="Helvetica"/>
        </w:rPr>
        <w:t>.</w:t>
      </w:r>
    </w:p>
    <w:p w14:paraId="58E08F36" w14:textId="39E2E4C2" w:rsidR="00D13F64" w:rsidRDefault="00D13F64" w:rsidP="00AE4A22">
      <w:pPr>
        <w:rPr>
          <w:rFonts w:ascii="Helvetica" w:hAnsi="Helvetica"/>
        </w:rPr>
      </w:pPr>
      <w:proofErr w:type="gramStart"/>
      <w:r>
        <w:rPr>
          <w:rFonts w:ascii="Helvetica" w:hAnsi="Helvetica"/>
        </w:rPr>
        <w:t>currently</w:t>
      </w:r>
      <w:proofErr w:type="gramEnd"/>
      <w:r>
        <w:rPr>
          <w:rFonts w:ascii="Helvetica" w:hAnsi="Helvetica"/>
        </w:rPr>
        <w:t xml:space="preserve"> viable DIVA tests are based on the gamma-interferon platform, which is known to have a considerably lower specificity than SICCT testing </w:t>
      </w:r>
      <w:r>
        <w:rPr>
          <w:rFonts w:ascii="Helvetica" w:hAnsi="Helvetica"/>
        </w:rPr>
        <w:fldChar w:fldCharType="begin"/>
      </w:r>
      <w:r>
        <w:rPr>
          <w:rFonts w:ascii="Helvetica" w:hAnsi="Helvetica"/>
        </w:rPr>
        <w:instrText xml:space="preserve"> ADDIN ZOTERO_ITEM CSL_CITATION {"citationID":"xf40QK7h","properties":{"formattedCitation":"(Vordermeier, Gordon, and Hewinson 2011)","plainCitation":"(Vordermeier, Gordon, and Hewinson 2011)"},"citationItems":[{"id":719,"uris":["http://zotero.org/users/local/t0KtVTqA/items/UX7F9I7T"],"uri":["http://zotero.org/users/local/t0KtVTqA/items/UX7F9I7T"],"itemData":{"id":719,"type":"article-journal","title":"Mycobacterium bovis antigens for the differential diagnosis of vaccinated and infected cattle","container-title":"Veterinary Microbiology","page":"8-13","volume":"151","issue":"1–2","source":"ScienceDirect","abstract":"The urgency for new and improved cattle vaccines and diagnostic reagents for Bovine tuberculosis (TB) has made their development a research priority in Great Britain (GB). Significant progress has been made to develop specific antigens that allow the differentiation of BCG vaccinated and Mycobacterium bovis infected cattle (DIVA test). This has been greatly facilitated by the completion of the genome sequences of M. tuberculosis, M. bovis and BCG Pasteur and the subsequent application of comparative genome and transcriptome analysis to define DIVA antigens that complemented the prototype DIVA antigens ESAT-6 and CFP-10 by increasing their test sensitivity. Finally, we present an up-date of our current approaches in this area.","DOI":"10.1016/j.vetmic.2011.02.020","ISSN":"0378-1135","journalAbbreviation":"Veterinary Microbiology","author":[{"family":"Vordermeier","given":"Martin"},{"family":"Gordon","given":"Stephen V."},{"family":"Hewinson","given":"R. Glyn"}],"issued":{"date-parts":[["2011",7,5]]},"accessed":{"date-parts":[["2014",2,21]]}}}],"schema":"https://github.com/citation-style-language/schema/raw/master/csl-citation.json"} </w:instrText>
      </w:r>
      <w:r>
        <w:rPr>
          <w:rFonts w:ascii="Helvetica" w:hAnsi="Helvetica"/>
        </w:rPr>
        <w:fldChar w:fldCharType="separate"/>
      </w:r>
      <w:r>
        <w:rPr>
          <w:rFonts w:ascii="Helvetica" w:hAnsi="Helvetica"/>
          <w:noProof/>
        </w:rPr>
        <w:t>(Vordermeier, Gordon, and Hewinson 2011)</w:t>
      </w:r>
      <w:r>
        <w:rPr>
          <w:rFonts w:ascii="Helvetica" w:hAnsi="Helvetica"/>
        </w:rPr>
        <w:fldChar w:fldCharType="end"/>
      </w:r>
      <w:r>
        <w:rPr>
          <w:rFonts w:ascii="Helvetica" w:hAnsi="Helvetica"/>
        </w:rPr>
        <w:t>.</w:t>
      </w:r>
    </w:p>
    <w:p w14:paraId="324E6CF3" w14:textId="05B6684B" w:rsidR="006E4108" w:rsidRPr="007A01BC" w:rsidRDefault="006E4108" w:rsidP="00AE4A22">
      <w:pPr>
        <w:rPr>
          <w:b/>
        </w:rPr>
      </w:pPr>
      <w:r w:rsidRPr="00837FFC">
        <w:rPr>
          <w:rFonts w:ascii="Helvetica" w:hAnsi="Helvetica"/>
        </w:rPr>
        <w:t xml:space="preserve">The SORI model is the more traditional view of </w:t>
      </w:r>
      <w:proofErr w:type="spellStart"/>
      <w:r w:rsidRPr="00837FFC">
        <w:rPr>
          <w:rFonts w:ascii="Helvetica" w:hAnsi="Helvetica"/>
        </w:rPr>
        <w:t>bTB</w:t>
      </w:r>
      <w:proofErr w:type="spellEnd"/>
      <w:r w:rsidRPr="00837FFC">
        <w:rPr>
          <w:rFonts w:ascii="Helvetica" w:hAnsi="Helvetica"/>
        </w:rPr>
        <w:t xml:space="preserve"> progression in cattle </w:t>
      </w:r>
      <w:r w:rsidRPr="00837FFC">
        <w:rPr>
          <w:rFonts w:ascii="Helvetica" w:hAnsi="Helvetica"/>
        </w:rPr>
        <w:fldChar w:fldCharType="begin"/>
      </w:r>
      <w:r w:rsidRPr="00837FFC">
        <w:rPr>
          <w:rFonts w:ascii="Helvetica" w:hAnsi="Helvetica"/>
        </w:rPr>
        <w:instrText xml:space="preserve"> ADDIN ZOTERO_ITEM CSL_CITATION {"citationID":"qLbKfVs3","properties":{"formattedCitation":"(Barlow et al. 1997; Kao, Roberts, and Ryan 1997; Fischer et al. 2005)","plainCitation":"(Barlow et al. 1997; Kao, Roberts, and Ryan 1997; Fischer et al. 2005)"},"citationItems":[{"id":661,"uris":["http://zotero.org/users/local/t0KtVTqA/items/5GR7BGJE"],"uri":["http://zotero.org/users/local/t0KtVTqA/items/5GR7BGJE"],"itemData":{"id":661,"type":"article-journal","title":"A simulation model for the spread of bovine tuberculosis within New Zealand cattle herds","container-title":"Preventive Veterinary Medicine","page":"57-75","volume":"32","issue":"1–2","source":"ScienceDirect","abstract":"Bovine tuberculosis, caused by Mycobacterium bovis, presents a major problem to New Zealand agriculture because of the risk that it poses to export-market access. New Zealand research has focused largely on the epidemiology of the disease in wildlife reservoirs, and relatively little is known about the dynamics of the disease in cattle. This study, therefore, investigates bovine tuberculosis (Tb) dynamics within cattle herds, by construction and application of a simple simulation model of disease transmission. The model was designed firstly to estimate rates of disease transmission within herds, and secondly to identify likely consequences of changes in herd Tb-testing policies. Both deterministic and stochastic versions of the model were used to achieve these aims. The model suggests that within-herd Tb transmission does occur and contributes to the reactor rates observed under annual herd testing regimens. The mass-action disease transmission coefficient (proportion of susceptible animals infected per unit time per infectious animal, i.e. not per diseased animal or per reactor), appears to be in the order of 2.7 × 10−5 per cow per day for a typical herd of around 200 animals, resulting in a contact rate (number of potentially infectious contacts made per infectious cow per day) of about 0.0073. These are average estimates for both beef and dairy herds. Model results suggest that improving the sensitivity of the test used to diagnose bovine Tb would improve control in areas where wildlife reservoirs are absent but have little effect where they are present. Reducing the time between tests of herds on Tb-induced movement control from the current 6 months to 2 or 3 months reduces the average time a herd spends on movement control and hence national Tb prevalence. In the presence of wildlife reservoirs of infection, both the total number of tests and total reactors per unit time increase, but the extent depends on the level of external infection. In all scenarios examined, involving thousands of model runs in total, infection was invariably absent from the modelled herd by the time it was considered clear of Tb based on testing results. This suggests that the caudal fold test is a realistic measure of herd Tb status and that Tb is unlikely to persist in herds under current testing practices in the absence of anergic cattle or an external source of infection. Specificity of the caudal-fold test as used in practice was estimated to be greater than 99%.","DOI":"10.1016/S0167-5877(97)00002-0","ISSN":"0167-5877","journalAbbreviation":"Preventive Veterinary Medicine","author":[{"family":"Barlow","given":"N.D."},{"family":"Kean","given":"J.M."},{"family":"Hickling","given":"G."},{"family":"Livingstone","given":"P.G."},{"family":"Robson","given":"A.B."}],"issued":{"date-parts":[["1997",9]]},"accessed":{"date-parts":[["2013",7,12]]}}},{"id":664,"uris":["http://zotero.org/users/local/t0KtVTqA/items/MAV5D9SE"],"uri":["http://zotero.org/users/local/t0KtVTqA/items/MAV5D9SE"],"itemData":{"id":664,"type":"article-journal","title":"A model of bovine tuberculosis control in domesticated cattle herds","container-title":"Proceedings of the Royal Society of London. Series B: Biological Sciences","page":"1069-1076","volume":"264","issue":"1384","source":"rspb.royalsocietypublishing.org","abstract":"A typical strategy for disease control in domesticated animals involves regular field tests and quarantine of infected herds. This prevents disease spread beyond the herd, while slaughter of diseased animals removes the infection from within the herd. A model of bovine tuberculosis (Tb) control in cattle is examined, which includes ‘test and slaughter’ combined with herd isolation and vaccination. Herd status is represented by an integral equation expressing the duration of herd isolation. The current Tb situation in New Zealand is used as an example, and vaccination strategy discussed. Extrapolation of existing management strategies indicate that a vaccine of efficacy greater than 96 per cent would be required, reaching 95per cent of target Tb levels within six years. These results suggest that a complementary strategy of vaccination and vector control may be more promising than vaccination alone.","DOI":"10.1098/rspb.1997.0148","ISSN":"0962-8452, 1471-2954","journalAbbreviation":"Proc. R. Soc. Lond. B","language":"en","author":[{"family":"Kao","given":"R. R."},{"family":"Roberts","given":"M. G."},{"family":"Ryan","given":"T. J."}],"issued":{"date-parts":[["1997",7,22]]},"accessed":{"date-parts":[["2013",7,12]]}}},{"id":667,"uris":["http://zotero.org/users/local/t0KtVTqA/items/K8HPUSV9"],"uri":["http://zotero.org/users/local/t0KtVTqA/items/K8HPUSV9"],"itemData":{"id":667,"type":"article-journal","title":"Evaluation of surveillance strategies for bovine tuberculosis (Mycobacterium bovis) using an individual based epidemiological model","container-title":"Preventive Veterinary Medicine","page":"283-301","volume":"67","issue":"4","source":"ScienceDirect","abstract":"The Netherlands holds the bovine tuberculosis-free (BTB-free) status according to European Union standards, but in recent years small outbreaks of the infection have occurred. After the last outbreak in 1999 with 10 infected herds the question raised if the current surveillance system, visual inspection of carcasses at the slaughterhouse, is efficient enough to detect infected cattle in time and to maintain the official BTB-free status. Through epidemiological modelling, the risk of a major outbreak is quantified, using one of six surveillance strategies. These are the currently used visual inspection of carcasses at the slaughterhouse (SL), the ELISA test on blood samples of carcasses at the slaughterhouse (ELISA-B), the γ-interferon test on blood samples of carcasses at the slaughterhouse (GAMMA-B), comparative tuberculination of the herd (CT), the combined method of single and comparative tuberculination of the herd (ST + CT) and the ELISA test on samples of bulk milk (ELISA-M). Test frequency of the last three methods was varied as well. A stochastic individual based model (IBM) was developed to simulate a chain of infected herds, where each individual animal is followed in time. The model mimics the nation-wide situation after the introduction of one infected animal into one herd. BTB-transmission is simulated with an S-E1-E2-I state transition model. Output is time until detection of the infection, prevalence in the detected herd and the number of infected herds at the time of detection. For the assessment 500 simulations were used, representing 500 BTB-introductions. Model robustness to parameter values was analysed with Monte Carlo elasticity analysis, for which 1000 simulations were used. Results of median time until detection and median number of infected farms at detection for SL (302 weeks and seven farms) were in agreement with estimates from an outbreak in the Netherlands in 1999. ELISA-B and GAMMA-B performed better than SL with a much lower median time until detection (189 and 97 weeks, respectively). The results for the tuberculination methods (ST + CT and CT) and ELISA-M depended heavily on the frequency in which the tests were performed. The tuberculination methods ST + CT and CT yield comparable results and detect the infection sooner than SL, also at the lowest tested frequency of once in 5 years. ELISA-M is comparable with SL at frequencies of once in 4 or 5 years, and this test works well at frequencies of once a year or higher. Our study results are used for an economical optimisation analysis of the six surveillance strategies.","DOI":"10.1016/j.prevetmed.2004.12.002","ISSN":"0167-5877","journalAbbreviation":"Preventive Veterinary Medicine","author":[{"family":"Fischer","given":"E.A.J."},{"family":"van Roermund","given":"H.J.W."},{"family":"Hemerik","given":"L."},{"family":"van Asseldonk","given":"M.A.P.M."},{"family":"de Jong","given":"M.C.M."}],"issued":{"date-parts":[["2005",3]]},"accessed":{"date-parts":[["2013",7,12]]}}}],"schema":"https://github.com/citation-style-language/schema/raw/master/csl-citation.json"} </w:instrText>
      </w:r>
      <w:r w:rsidRPr="00837FFC">
        <w:rPr>
          <w:rFonts w:ascii="Helvetica" w:hAnsi="Helvetica"/>
        </w:rPr>
        <w:fldChar w:fldCharType="separate"/>
      </w:r>
      <w:r w:rsidRPr="00837FFC">
        <w:rPr>
          <w:rFonts w:ascii="Helvetica" w:hAnsi="Helvetica"/>
          <w:noProof/>
        </w:rPr>
        <w:t>(Barlow et al. 1997; Kao</w:t>
      </w:r>
      <w:r>
        <w:rPr>
          <w:rFonts w:ascii="Helvetica" w:hAnsi="Helvetica"/>
          <w:noProof/>
        </w:rPr>
        <w:t xml:space="preserve"> et al.</w:t>
      </w:r>
      <w:r w:rsidRPr="00837FFC">
        <w:rPr>
          <w:rFonts w:ascii="Helvetica" w:hAnsi="Helvetica"/>
          <w:noProof/>
        </w:rPr>
        <w:t>1997; Fischer et al. 2005)</w:t>
      </w:r>
      <w:r w:rsidRPr="00837FFC">
        <w:rPr>
          <w:rFonts w:ascii="Helvetica" w:hAnsi="Helvetica"/>
        </w:rPr>
        <w:fldChar w:fldCharType="end"/>
      </w:r>
    </w:p>
    <w:sectPr w:rsidR="006E4108" w:rsidRPr="007A01BC" w:rsidSect="00A760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845"/>
    <w:rsid w:val="000411CF"/>
    <w:rsid w:val="001B0AE7"/>
    <w:rsid w:val="00232D1C"/>
    <w:rsid w:val="00300047"/>
    <w:rsid w:val="00350B9C"/>
    <w:rsid w:val="00407055"/>
    <w:rsid w:val="004B23E4"/>
    <w:rsid w:val="004E1BEE"/>
    <w:rsid w:val="005A3BF2"/>
    <w:rsid w:val="006E4108"/>
    <w:rsid w:val="007A01BC"/>
    <w:rsid w:val="007F1855"/>
    <w:rsid w:val="00814D6D"/>
    <w:rsid w:val="0096662D"/>
    <w:rsid w:val="009D7F0C"/>
    <w:rsid w:val="00A760F7"/>
    <w:rsid w:val="00A84E7F"/>
    <w:rsid w:val="00AC319F"/>
    <w:rsid w:val="00AE4A22"/>
    <w:rsid w:val="00B11A15"/>
    <w:rsid w:val="00C25ED2"/>
    <w:rsid w:val="00CE2736"/>
    <w:rsid w:val="00CF189B"/>
    <w:rsid w:val="00D13F64"/>
    <w:rsid w:val="00D56845"/>
    <w:rsid w:val="00DA45EE"/>
    <w:rsid w:val="00EB01D9"/>
    <w:rsid w:val="00EE4A8B"/>
    <w:rsid w:val="00F17C4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0530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C47"/>
    <w:rPr>
      <w:color w:val="808080"/>
    </w:rPr>
  </w:style>
  <w:style w:type="paragraph" w:styleId="BalloonText">
    <w:name w:val="Balloon Text"/>
    <w:basedOn w:val="Normal"/>
    <w:link w:val="BalloonTextChar"/>
    <w:uiPriority w:val="99"/>
    <w:semiHidden/>
    <w:unhideWhenUsed/>
    <w:rsid w:val="00F17C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7C47"/>
    <w:rPr>
      <w:rFonts w:ascii="Lucida Grande" w:hAnsi="Lucida Grande" w:cs="Lucida Grande"/>
      <w:sz w:val="18"/>
      <w:szCs w:val="18"/>
      <w:lang w:val="en-GB"/>
    </w:rPr>
  </w:style>
  <w:style w:type="table" w:styleId="LightShading">
    <w:name w:val="Light Shading"/>
    <w:basedOn w:val="TableNormal"/>
    <w:uiPriority w:val="60"/>
    <w:rsid w:val="00A760F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760F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A760F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A760F7"/>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C47"/>
    <w:rPr>
      <w:color w:val="808080"/>
    </w:rPr>
  </w:style>
  <w:style w:type="paragraph" w:styleId="BalloonText">
    <w:name w:val="Balloon Text"/>
    <w:basedOn w:val="Normal"/>
    <w:link w:val="BalloonTextChar"/>
    <w:uiPriority w:val="99"/>
    <w:semiHidden/>
    <w:unhideWhenUsed/>
    <w:rsid w:val="00F17C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7C47"/>
    <w:rPr>
      <w:rFonts w:ascii="Lucida Grande" w:hAnsi="Lucida Grande" w:cs="Lucida Grande"/>
      <w:sz w:val="18"/>
      <w:szCs w:val="18"/>
      <w:lang w:val="en-GB"/>
    </w:rPr>
  </w:style>
  <w:style w:type="table" w:styleId="LightShading">
    <w:name w:val="Light Shading"/>
    <w:basedOn w:val="TableNormal"/>
    <w:uiPriority w:val="60"/>
    <w:rsid w:val="00A760F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A760F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A760F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A760F7"/>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584877">
      <w:bodyDiv w:val="1"/>
      <w:marLeft w:val="0"/>
      <w:marRight w:val="0"/>
      <w:marTop w:val="0"/>
      <w:marBottom w:val="0"/>
      <w:divBdr>
        <w:top w:val="none" w:sz="0" w:space="0" w:color="auto"/>
        <w:left w:val="none" w:sz="0" w:space="0" w:color="auto"/>
        <w:bottom w:val="none" w:sz="0" w:space="0" w:color="auto"/>
        <w:right w:val="none" w:sz="0" w:space="0" w:color="auto"/>
      </w:divBdr>
      <w:divsChild>
        <w:div w:id="169018399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3</Pages>
  <Words>4957</Words>
  <Characters>28260</Characters>
  <Application>Microsoft Macintosh Word</Application>
  <DocSecurity>0</DocSecurity>
  <Lines>235</Lines>
  <Paragraphs>66</Paragraphs>
  <ScaleCrop>false</ScaleCrop>
  <Company>BioSS</Company>
  <LinksUpToDate>false</LinksUpToDate>
  <CharactersWithSpaces>33151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 Rydevik</dc:creator>
  <cp:keywords/>
  <dc:description/>
  <cp:lastModifiedBy>Gustaf Rydevik</cp:lastModifiedBy>
  <cp:revision>6</cp:revision>
  <dcterms:created xsi:type="dcterms:W3CDTF">2014-06-10T14:42:00Z</dcterms:created>
  <dcterms:modified xsi:type="dcterms:W3CDTF">2014-07-21T08:01:00Z</dcterms:modified>
</cp:coreProperties>
</file>