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Система: «rabbit.lab» — интерактивный конструктор RabbitMQ (Simulator-standalone)</w:t>
      </w:r>
    </w:p>
    <w:p>
      <w:r>
        <w:drawing>
          <wp:inline xmlns:a="http://schemas.openxmlformats.org/drawingml/2006/main" xmlns:pic="http://schemas.openxmlformats.org/drawingml/2006/picture">
            <wp:extent cx="5334000" cy="3814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 Use Case систем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14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Границы системы (область):</w:t>
      </w:r>
      <w:r>
        <w:t xml:space="preserve"> веб-приложение симулятора, работающее в браузере без регистрации. Внутри системы: холст топологии (producers, exchanges, queues, bindings, consumers), движок симуляции доставки сообщений (routing по типам exchange, TTL, nack/DLX, redelivered), метрики и журнал событий, проверки заданий, аудит топологии, сохранение состояния в localStorage, экспорт артефактов.</w:t>
      </w:r>
    </w:p>
    <w:p>
      <w:r>
        <w:rPr>
          <w:b/>
        </w:rPr>
        <w:t>За границей системы:</w:t>
      </w:r>
      <w:r>
        <w:t xml:space="preserve"> реальный брокер RabbitMQ (симулятор его эмулирует; подключение к живому брокеру — вне области), учебные материалы курса (страницы course/architecture/operations — вне области UC), сервер (GitHub Pages — статическое хостинг).</w:t>
      </w:r>
    </w:p>
    <w:p>
      <w:r>
        <w:rPr>
          <w:b/>
        </w:rPr>
        <w:t>Акторы системы (2):</w:t>
      </w:r>
    </w:p>
    <w:p>
      <w:pPr>
        <w:pStyle w:val="ListBullet"/>
      </w:pPr>
      <w:r>
        <w:rPr>
          <w:b/>
        </w:rPr>
        <w:t>Студент (Student)</w:t>
      </w:r>
      <w:r>
        <w:t xml:space="preserve"> — человек, изучающий маршрутизацию RabbitMQ; первичный актор почти всех сценариев.</w:t>
      </w:r>
    </w:p>
    <w:p>
      <w:pPr>
        <w:pStyle w:val="ListBullet"/>
      </w:pPr>
      <w:r>
        <w:rPr>
          <w:b/>
        </w:rPr>
        <w:t>Локальное хранилище браузера (localStorage)</w:t>
      </w:r>
      <w:r>
        <w:t xml:space="preserve"> — системный актор: долговременное хранение профиля (</w:t>
      </w:r>
      <w:r>
        <w:rPr>
          <w:rFonts w:ascii="Consolas" w:hAnsi="Consolas"/>
          <w:sz w:val="18"/>
        </w:rPr>
        <w:t>rl_user</w:t>
      </w:r>
      <w:r>
        <w:t>) и состояний песочницы между сессиями.</w:t>
      </w:r>
    </w:p>
    <w:p>
      <w:pPr>
        <w:pStyle w:val="Heading2"/>
      </w:pPr>
      <w:r>
        <w:t>Actor–Goal List (точность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Актор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Цель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Уровень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Студент</w:t>
            </w:r>
          </w:p>
        </w:tc>
        <w:tc>
          <w:tcPr>
            <w:tcW w:type="dxa" w:w="2160"/>
          </w:tcPr>
          <w:p>
            <w:r/>
            <w:r>
              <w:t>Пройти учебный сценарий (direct/fanout/topic/DLQ/retry/headers)</w:t>
            </w:r>
          </w:p>
        </w:tc>
        <w:tc>
          <w:tcPr>
            <w:tcW w:type="dxa" w:w="2160"/>
          </w:tcPr>
          <w:p>
            <w:r/>
            <w:r>
              <w:t>Primary task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Студент</w:t>
            </w:r>
          </w:p>
        </w:tc>
        <w:tc>
          <w:tcPr>
            <w:tcW w:type="dxa" w:w="2160"/>
          </w:tcPr>
          <w:p>
            <w:r/>
            <w:r>
              <w:t>Опубликовать сообщение и увидеть маршрутизацию</w:t>
            </w:r>
          </w:p>
        </w:tc>
        <w:tc>
          <w:tcPr>
            <w:tcW w:type="dxa" w:w="2160"/>
          </w:tcPr>
          <w:p>
            <w:r/>
            <w:r>
              <w:t>Primary task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Студент</w:t>
            </w:r>
          </w:p>
        </w:tc>
        <w:tc>
          <w:tcPr>
            <w:tcW w:type="dxa" w:w="2160"/>
          </w:tcPr>
          <w:p>
            <w:r/>
            <w:r>
              <w:t>Подтвердить доставку / отклонить (nack) сообщение</w:t>
            </w:r>
          </w:p>
        </w:tc>
        <w:tc>
          <w:tcPr>
            <w:tcW w:type="dxa" w:w="2160"/>
          </w:tcPr>
          <w:p>
            <w:r/>
            <w:r>
              <w:t>Primary task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Студент</w:t>
            </w:r>
          </w:p>
        </w:tc>
        <w:tc>
          <w:tcPr>
            <w:tcW w:type="dxa" w:w="2160"/>
          </w:tcPr>
          <w:p>
            <w:r/>
            <w:r>
              <w:t>Собрать свою топологию в свободном режиме</w:t>
            </w:r>
          </w:p>
        </w:tc>
        <w:tc>
          <w:tcPr>
            <w:tcW w:type="dxa" w:w="2160"/>
          </w:tcPr>
          <w:p>
            <w:r/>
            <w:r>
              <w:t>Primary task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Студент</w:t>
            </w:r>
          </w:p>
        </w:tc>
        <w:tc>
          <w:tcPr>
            <w:tcW w:type="dxa" w:w="2160"/>
          </w:tcPr>
          <w:p>
            <w:r/>
            <w:r>
              <w:t>Проверить топологию аудитом</w:t>
            </w:r>
          </w:p>
        </w:tc>
        <w:tc>
          <w:tcPr>
            <w:tcW w:type="dxa" w:w="2160"/>
          </w:tcPr>
          <w:p>
            <w:r/>
            <w:r>
              <w:t>Supporting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Студент</w:t>
            </w:r>
          </w:p>
        </w:tc>
        <w:tc>
          <w:tcPr>
            <w:tcW w:type="dxa" w:w="2160"/>
          </w:tcPr>
          <w:p>
            <w:r/>
            <w:r>
              <w:t>Следить за потоком сообщений и метриками</w:t>
            </w:r>
          </w:p>
        </w:tc>
        <w:tc>
          <w:tcPr>
            <w:tcW w:type="dxa" w:w="2160"/>
          </w:tcPr>
          <w:p>
            <w:r/>
            <w:r>
              <w:t>Supporting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Студент</w:t>
            </w:r>
          </w:p>
        </w:tc>
        <w:tc>
          <w:tcPr>
            <w:tcW w:type="dxa" w:w="2160"/>
          </w:tcPr>
          <w:p>
            <w:r/>
            <w:r>
              <w:t>Сохранить и восстановить состояние песочницы</w:t>
            </w:r>
          </w:p>
        </w:tc>
        <w:tc>
          <w:tcPr>
            <w:tcW w:type="dxa" w:w="2160"/>
          </w:tcPr>
          <w:p>
            <w:r/>
            <w:r>
              <w:t>Supporting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Студент</w:t>
            </w:r>
          </w:p>
        </w:tc>
        <w:tc>
          <w:tcPr>
            <w:tcW w:type="dxa" w:w="2160"/>
          </w:tcPr>
          <w:p>
            <w:r/>
            <w:r>
              <w:t>Экспортировать топологию (definitions.json и др.)</w:t>
            </w:r>
          </w:p>
        </w:tc>
        <w:tc>
          <w:tcPr>
            <w:tcW w:type="dxa" w:w="2160"/>
          </w:tcPr>
          <w:p>
            <w:r/>
            <w:r>
              <w:t>Supporting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Студент</w:t>
            </w:r>
          </w:p>
        </w:tc>
        <w:tc>
          <w:tcPr>
            <w:tcW w:type="dxa" w:w="2160"/>
          </w:tcPr>
          <w:p>
            <w:r/>
            <w:r>
              <w:t>Зарегистрировать профиль</w:t>
            </w:r>
          </w:p>
        </w:tc>
        <w:tc>
          <w:tcPr>
            <w:tcW w:type="dxa" w:w="2160"/>
          </w:tcPr>
          <w:p>
            <w:r/>
            <w:r>
              <w:t>Supporting</w:t>
            </w:r>
          </w:p>
        </w:tc>
      </w:tr>
    </w:tbl>
    <w:p/>
    <w:p>
      <w:pPr>
        <w:pStyle w:val="Heading2"/>
      </w:pPr>
      <w:r>
        <w:t>Наборы Use Case</w:t>
      </w:r>
    </w:p>
    <w:p>
      <w:r>
        <w:rPr>
          <w:b/>
        </w:rPr>
        <w:t>Набор A — учебные сценарии (guided):</w:t>
      </w:r>
      <w:r>
        <w:t xml:space="preserve"> UC-01 Select Learning Scenario, UC-02 Publish Message, UC-03 Acknowledge Message Delivery (общие для всех 6 guided-топологий: direct 01, fanout 02, topic 03, dlq 04, retry 05, headers 06 — различия только в данных биндингов, т.е. в Variation UC-01).</w:t>
      </w:r>
    </w:p>
    <w:p>
      <w:r>
        <w:rPr>
          <w:b/>
        </w:rPr>
        <w:t>Набор B — конструктор (free):</w:t>
      </w:r>
      <w:r>
        <w:t xml:space="preserve"> UC-04 Add Topology Element, UC-05 Audit Topology.</w:t>
      </w:r>
    </w:p>
    <w:p>
      <w:r>
        <w:rPr>
          <w:b/>
        </w:rPr>
        <w:t>Набор C — состояние и артефакты:</w:t>
      </w:r>
      <w:r>
        <w:t xml:space="preserve"> UC-06 Restore Sandbox State, UC-07 Save Sandbox State, UC-08 Export Topology, UC-09 Register Profile.</w:t>
      </w:r>
    </w:p>
    <w:p>
      <w:r>
        <w:rPr>
          <w:b/>
        </w:rPr>
        <w:t>Набор D — наблюдение:</w:t>
      </w:r>
      <w:r>
        <w:t xml:space="preserve"> UC-10 Monitor Message Flow.</w:t>
      </w:r>
    </w:p>
    <w:p>
      <w:pPr>
        <w:pStyle w:val="Heading2"/>
      </w:pPr>
      <w:r>
        <w:t>СВЯЗИ МЕЖДУ USE CASE (матрица)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Базовый UC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Связанный UC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Тип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Точка срабатывания</w:t>
            </w:r>
          </w:p>
        </w:tc>
      </w:tr>
      <w:tr>
        <w:tc>
          <w:tcPr>
            <w:tcW w:type="dxa" w:w="2160"/>
          </w:tcPr>
          <w:p>
            <w:r/>
            <w:r>
              <w:t>Select Learning Scenario (01)</w:t>
            </w:r>
          </w:p>
        </w:tc>
        <w:tc>
          <w:tcPr>
            <w:tcW w:type="dxa" w:w="2160"/>
          </w:tcPr>
          <w:p>
            <w:r/>
            <w:r>
              <w:t>Restore Sandbox State (06)</w:t>
            </w:r>
          </w:p>
        </w:tc>
        <w:tc>
          <w:tcPr>
            <w:tcW w:type="dxa" w:w="2160"/>
          </w:tcPr>
          <w:p>
            <w:r/>
            <w:r>
              <w:t>extend</w:t>
            </w:r>
          </w:p>
        </w:tc>
        <w:tc>
          <w:tcPr>
            <w:tcW w:type="dxa" w:w="2160"/>
          </w:tcPr>
          <w:p>
            <w:r/>
            <w:r>
              <w:t>1a — при наличии сохранённого состояния сценария</w:t>
            </w:r>
          </w:p>
        </w:tc>
      </w:tr>
      <w:tr>
        <w:tc>
          <w:tcPr>
            <w:tcW w:type="dxa" w:w="2160"/>
          </w:tcPr>
          <w:p>
            <w:r/>
            <w:r>
              <w:t>Publish Message (02)</w:t>
            </w:r>
          </w:p>
        </w:tc>
        <w:tc>
          <w:tcPr>
            <w:tcW w:type="dxa" w:w="2160"/>
          </w:tcPr>
          <w:p>
            <w:r/>
            <w:r>
              <w:t>Acknowledge Message Delivery (03)</w:t>
            </w:r>
          </w:p>
        </w:tc>
        <w:tc>
          <w:tcPr>
            <w:tcW w:type="dxa" w:w="2160"/>
          </w:tcPr>
          <w:p>
            <w:r/>
            <w:r>
              <w:t>extend</w:t>
            </w:r>
          </w:p>
        </w:tc>
        <w:tc>
          <w:tcPr>
            <w:tcW w:type="dxa" w:w="2160"/>
          </w:tcPr>
          <w:p>
            <w:r/>
            <w:r>
              <w:t>6a — доставка потребителю с autoAck=false</w:t>
            </w:r>
          </w:p>
        </w:tc>
      </w:tr>
      <w:tr>
        <w:tc>
          <w:tcPr>
            <w:tcW w:type="dxa" w:w="2160"/>
          </w:tcPr>
          <w:p>
            <w:r/>
            <w:r>
              <w:t>Publish Message (02)</w:t>
            </w:r>
          </w:p>
        </w:tc>
        <w:tc>
          <w:tcPr>
            <w:tcW w:type="dxa" w:w="2160"/>
          </w:tcPr>
          <w:p>
            <w:r/>
            <w:r>
              <w:t>Add Topology Element (04)</w:t>
            </w:r>
          </w:p>
        </w:tc>
        <w:tc>
          <w:tcPr>
            <w:tcW w:type="dxa" w:w="2160"/>
          </w:tcPr>
          <w:p>
            <w:r/>
            <w:r>
              <w:t>extend</w:t>
            </w:r>
          </w:p>
        </w:tc>
        <w:tc>
          <w:tcPr>
            <w:tcW w:type="dxa" w:w="2160"/>
          </w:tcPr>
          <w:p>
            <w:r/>
            <w:r>
              <w:t>3a — producer не создан</w:t>
            </w:r>
          </w:p>
        </w:tc>
      </w:tr>
      <w:tr>
        <w:tc>
          <w:tcPr>
            <w:tcW w:type="dxa" w:w="2160"/>
          </w:tcPr>
          <w:p>
            <w:r/>
            <w:r>
              <w:t>Add Topology Element (04)</w:t>
            </w:r>
          </w:p>
        </w:tc>
        <w:tc>
          <w:tcPr>
            <w:tcW w:type="dxa" w:w="2160"/>
          </w:tcPr>
          <w:p>
            <w:r/>
            <w:r>
              <w:t>Audit Topology (05)</w:t>
            </w:r>
          </w:p>
        </w:tc>
        <w:tc>
          <w:tcPr>
            <w:tcW w:type="dxa" w:w="2160"/>
          </w:tcPr>
          <w:p>
            <w:r/>
            <w:r>
              <w:t>extend</w:t>
            </w:r>
          </w:p>
        </w:tc>
        <w:tc>
          <w:tcPr>
            <w:tcW w:type="dxa" w:w="2160"/>
          </w:tcPr>
          <w:p>
            <w:r/>
            <w:r>
              <w:t>5a — автопроверка после изменения схемы</w:t>
            </w:r>
          </w:p>
        </w:tc>
      </w:tr>
      <w:tr>
        <w:tc>
          <w:tcPr>
            <w:tcW w:type="dxa" w:w="2160"/>
          </w:tcPr>
          <w:p>
            <w:r/>
            <w:r>
              <w:t>Monitor Message Flow (10)</w:t>
            </w:r>
          </w:p>
        </w:tc>
        <w:tc>
          <w:tcPr>
            <w:tcW w:type="dxa" w:w="2160"/>
          </w:tcPr>
          <w:p>
            <w:r/>
            <w:r>
              <w:t>Save Sandbox State (07)</w:t>
            </w:r>
          </w:p>
        </w:tc>
        <w:tc>
          <w:tcPr>
            <w:tcW w:type="dxa" w:w="2160"/>
          </w:tcPr>
          <w:p>
            <w:r/>
            <w:r>
              <w:t>extend</w:t>
            </w:r>
          </w:p>
        </w:tc>
        <w:tc>
          <w:tcPr>
            <w:tcW w:type="dxa" w:w="2160"/>
          </w:tcPr>
          <w:p>
            <w:r/>
            <w:r>
              <w:t>шаг 1 — при включённом авто-сохранении</w:t>
            </w:r>
          </w:p>
        </w:tc>
      </w:tr>
    </w:tbl>
    <w:p/>
    <w:p>
      <w:r>
        <w:t>Вложенность include/extend — не более 1 уровня.</w:t>
      </w:r>
    </w:p>
    <w:p>
      <w:r>
        <w:t>Диаграмма системы: [</w:t>
      </w:r>
      <w:r>
        <w:rPr>
          <w:rFonts w:ascii="Consolas" w:hAnsi="Consolas"/>
          <w:sz w:val="18"/>
        </w:rPr>
        <w:t>Диаграмма Use Case системы.png</w:t>
      </w:r>
      <w:r>
        <w:t>](Диаграмма%20Use%20Case%20системы.png)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