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 CASE 02 | Publish Message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Поле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USE CASE 02</w:t>
            </w:r>
          </w:p>
        </w:tc>
        <w:tc>
          <w:tcPr>
            <w:tcW w:type="dxa" w:w="4320"/>
          </w:tcPr>
          <w:p>
            <w:r/>
            <w:r>
              <w:t>Publish Message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Описание</w:t>
            </w:r>
          </w:p>
        </w:tc>
        <w:tc>
          <w:tcPr>
            <w:tcW w:type="dxa" w:w="4320"/>
          </w:tcPr>
          <w:p>
            <w:r/>
            <w:r>
              <w:t>Студент публикует сообщение в exchange с заданным routing key (и/или headers) и ожидает увидеть его маршрутизацию по топологии и доставку в целевые очереди.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Используется в</w:t>
            </w:r>
          </w:p>
        </w:tc>
        <w:tc>
          <w:tcPr>
            <w:tcW w:type="dxa" w:w="4320"/>
          </w:tcPr>
          <w:p>
            <w:r/>
            <w:r>
              <w:t>N/A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Предусловия</w:t>
            </w:r>
          </w:p>
        </w:tc>
        <w:tc>
          <w:tcPr>
            <w:tcW w:type="dxa" w:w="4320"/>
          </w:tcPr>
          <w:p>
            <w:r/>
            <w:r>
              <w:t>Топология загружена (use case 01). Exchange и биндинги определены. Producer выбран или существует.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Условие успешного завершения</w:t>
            </w:r>
          </w:p>
        </w:tc>
        <w:tc>
          <w:tcPr>
            <w:tcW w:type="dxa" w:w="4320"/>
          </w:tcPr>
          <w:p>
            <w:r/>
            <w:r>
              <w:t>Сообщение опубликовано и подтверждено (publisher confirm). Все очереди, чей binding совпал с routing key / headers, получили копию сообщения. Метрики published и routed увеличены. Записи доставки отображены в маршруте и журнале.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Условие завершения с ошибкой</w:t>
            </w:r>
          </w:p>
        </w:tc>
        <w:tc>
          <w:tcPr>
            <w:tcW w:type="dxa" w:w="4320"/>
          </w:tcPr>
          <w:p>
            <w:r/>
            <w:r>
              <w:t>Сообщение не опубликовано или опубликовано, но не доставлено ни в одну очередь (unroutable). Состояние очередей не изменено. Метрика unroutable/dropped увеличена, о причинах отображено в журнале.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Акторы</w:t>
            </w:r>
          </w:p>
        </w:tc>
        <w:tc>
          <w:tcPr>
            <w:tcW w:type="dxa" w:w="4320"/>
          </w:tcPr>
          <w:p>
            <w:r/>
            <w:r>
              <w:t>Студент (первичный — задаёт сообщение и инициирует публикацию). Симулятор (вторичный — выполняет routing и доставку).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Стимул</w:t>
            </w:r>
          </w:p>
        </w:tc>
        <w:tc>
          <w:tcPr>
            <w:tcW w:type="dxa" w:w="4320"/>
          </w:tcPr>
          <w:p>
            <w:r/>
            <w:r>
              <w:t>Студент нажимает «Опубликовать» (или Ctrl+Enter) в панели публикации.</w:t>
            </w:r>
          </w:p>
        </w:tc>
      </w:tr>
    </w:tbl>
    <w:p/>
    <w:p>
      <w:pPr>
        <w:pStyle w:val="Heading2"/>
      </w:pPr>
      <w:r>
        <w:t>ОСНОВНОЙ ПОТОК (DESCRIPTION)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Действие</w:t>
            </w:r>
          </w:p>
        </w:tc>
      </w:tr>
      <w:tr>
        <w:tc>
          <w:tcPr>
            <w:tcW w:type="dxa" w:w="4320"/>
          </w:tcPr>
          <w:p>
            <w:r/>
            <w:r>
              <w:t>1</w:t>
            </w:r>
          </w:p>
        </w:tc>
        <w:tc>
          <w:tcPr>
            <w:tcW w:type="dxa" w:w="4320"/>
          </w:tcPr>
          <w:p>
            <w:r/>
            <w:r>
              <w:t>Студент задаёт routing key, payload, headers, count сообщения в панели публикации.</w:t>
            </w:r>
          </w:p>
        </w:tc>
      </w:tr>
      <w:tr>
        <w:tc>
          <w:tcPr>
            <w:tcW w:type="dxa" w:w="4320"/>
          </w:tcPr>
          <w:p>
            <w:r/>
            <w:r>
              <w:t>2</w:t>
            </w:r>
          </w:p>
        </w:tc>
        <w:tc>
          <w:tcPr>
            <w:tcW w:type="dxa" w:w="4320"/>
          </w:tcPr>
          <w:p>
            <w:r/>
            <w:r>
              <w:t>Студент нажимает «Опубликовать».</w:t>
            </w:r>
          </w:p>
        </w:tc>
      </w:tr>
      <w:tr>
        <w:tc>
          <w:tcPr>
            <w:tcW w:type="dxa" w:w="4320"/>
          </w:tcPr>
          <w:p>
            <w:r/>
            <w:r>
              <w:t>3</w:t>
            </w:r>
          </w:p>
        </w:tc>
        <w:tc>
          <w:tcPr>
            <w:tcW w:type="dxa" w:w="4320"/>
          </w:tcPr>
          <w:p>
            <w:r/>
            <w:r>
              <w:t>Система отбрасывает (publish) сообщение в выбранный exchange от имени selected producer.</w:t>
            </w:r>
          </w:p>
        </w:tc>
      </w:tr>
      <w:tr>
        <w:tc>
          <w:tcPr>
            <w:tcW w:type="dxa" w:w="4320"/>
          </w:tcPr>
          <w:p>
            <w:r/>
            <w:r>
              <w:t>4</w:t>
            </w:r>
          </w:p>
        </w:tc>
        <w:tc>
          <w:tcPr>
            <w:tcW w:type="dxa" w:w="4320"/>
          </w:tcPr>
          <w:p>
            <w:r/>
            <w:r>
              <w:t>Система обрабатывает publisher confirm: сообщение помечено confirmed.</w:t>
            </w:r>
          </w:p>
        </w:tc>
      </w:tr>
      <w:tr>
        <w:tc>
          <w:tcPr>
            <w:tcW w:type="dxa" w:w="4320"/>
          </w:tcPr>
          <w:p>
            <w:r/>
            <w:r>
              <w:t>5</w:t>
            </w:r>
          </w:p>
        </w:tc>
        <w:tc>
          <w:tcPr>
            <w:tcW w:type="dxa" w:w="4320"/>
          </w:tcPr>
          <w:p>
            <w:r/>
            <w:r>
              <w:t>Система сравнивает routing key (для direct/topic) или headers (для headers) с биндингами exchange.</w:t>
            </w:r>
          </w:p>
        </w:tc>
      </w:tr>
      <w:tr>
        <w:tc>
          <w:tcPr>
            <w:tcW w:type="dxa" w:w="4320"/>
          </w:tcPr>
          <w:p>
            <w:r/>
            <w:r>
              <w:t>6</w:t>
            </w:r>
          </w:p>
        </w:tc>
        <w:tc>
          <w:tcPr>
            <w:tcW w:type="dxa" w:w="4320"/>
          </w:tcPr>
          <w:p>
            <w:r/>
            <w:r>
              <w:t>Система копирует сообщение во все совпавшие очереди; доставка помечена routed.</w:t>
            </w:r>
          </w:p>
        </w:tc>
      </w:tr>
      <w:tr>
        <w:tc>
          <w:tcPr>
            <w:tcW w:type="dxa" w:w="4320"/>
          </w:tcPr>
          <w:p>
            <w:r/>
            <w:r>
              <w:t>7</w:t>
            </w:r>
          </w:p>
        </w:tc>
        <w:tc>
          <w:tcPr>
            <w:tcW w:type="dxa" w:w="4320"/>
          </w:tcPr>
          <w:p>
            <w:r/>
            <w:r>
              <w:t>Система увеличивает метрики published, routed и (для очередей без consumers) ready.</w:t>
            </w:r>
          </w:p>
        </w:tc>
      </w:tr>
      <w:tr>
        <w:tc>
          <w:tcPr>
            <w:tcW w:type="dxa" w:w="4320"/>
          </w:tcPr>
          <w:p>
            <w:r/>
            <w:r>
              <w:t>8</w:t>
            </w:r>
          </w:p>
        </w:tc>
        <w:tc>
          <w:tcPr>
            <w:tcW w:type="dxa" w:w="4320"/>
          </w:tcPr>
          <w:p>
            <w:r/>
            <w:r>
              <w:t>Система отображает сообщение в списке доставок и в журнале событий.</w:t>
            </w:r>
          </w:p>
        </w:tc>
      </w:tr>
    </w:tbl>
    <w:p/>
    <w:p>
      <w:pPr>
        <w:pStyle w:val="Heading2"/>
      </w:pPr>
      <w:r>
        <w:t>РАСШИРЕНИЯ (EXTENSIONS)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Ветвление</w:t>
            </w:r>
          </w:p>
        </w:tc>
      </w:tr>
      <w:tr>
        <w:tc>
          <w:tcPr>
            <w:tcW w:type="dxa" w:w="4320"/>
          </w:tcPr>
          <w:p>
            <w:r/>
            <w:r>
              <w:t>5a</w:t>
            </w:r>
          </w:p>
        </w:tc>
        <w:tc>
          <w:tcPr>
            <w:tcW w:type="dxa" w:w="4320"/>
          </w:tcPr>
          <w:p>
            <w:r/>
            <w:r>
              <w:t>Ни один binding exchange не совпал с routing key / headers (unroutable):</w:t>
            </w:r>
          </w:p>
          <w:p>
            <w:r>
              <w:t>5a1. Система помечает сообщение unroutable; метрика unroutable увеличена.</w:t>
            </w:r>
          </w:p>
          <w:p>
            <w:r>
              <w:t>5a2. Система отображает причину в журнале («сообщение не доставлено ни в одну очередь»).</w:t>
            </w:r>
          </w:p>
          <w:p>
            <w:r>
              <w:t>5a3. Завершить сценарий.</w:t>
            </w:r>
          </w:p>
        </w:tc>
      </w:tr>
      <w:tr>
        <w:tc>
          <w:tcPr>
            <w:tcW w:type="dxa" w:w="4320"/>
          </w:tcPr>
          <w:p>
            <w:r/>
            <w:r>
              <w:t>6a</w:t>
            </w:r>
          </w:p>
        </w:tc>
        <w:tc>
          <w:tcPr>
            <w:tcW w:type="dxa" w:w="4320"/>
          </w:tcPr>
          <w:p>
            <w:r/>
            <w:r>
              <w:t>В целевой очереди есть consumer с autoAck=false:</w:t>
            </w:r>
          </w:p>
          <w:p>
            <w:r>
              <w:t>6a1. Система доставляет сообщение потребителю; доставка помечена unacked.</w:t>
            </w:r>
          </w:p>
          <w:p>
            <w:r>
              <w:t>6a2. Метрики unacked увеличена, ready не увеличивается.</w:t>
            </w:r>
          </w:p>
          <w:p>
            <w:r>
              <w:t>6a3. Продолжить use case 03 (Acknowledge Message Delivery) для подтверждения/отклонения.</w:t>
            </w:r>
          </w:p>
        </w:tc>
      </w:tr>
      <w:tr>
        <w:tc>
          <w:tcPr>
            <w:tcW w:type="dxa" w:w="4320"/>
          </w:tcPr>
          <w:p>
            <w:r/>
            <w:r>
              <w:t>3a</w:t>
            </w:r>
          </w:p>
        </w:tc>
        <w:tc>
          <w:tcPr>
            <w:tcW w:type="dxa" w:w="4320"/>
          </w:tcPr>
          <w:p>
            <w:r/>
            <w:r>
              <w:t>Producer не выбран (свободный режим, producers не определены):</w:t>
            </w:r>
          </w:p>
          <w:p>
            <w:r>
              <w:t>3a1. Система предлагает студенту выбрать producer или создать новый (use case 04).</w:t>
            </w:r>
          </w:p>
          <w:p>
            <w:r>
              <w:t>3a2. При создании — продолжить с шага 3; при выборе — продолжить с шага 3.</w:t>
            </w:r>
          </w:p>
        </w:tc>
      </w:tr>
    </w:tbl>
    <w:p/>
    <w:p>
      <w:pPr>
        <w:pStyle w:val="Heading2"/>
      </w:pPr>
      <w:r>
        <w:t>ВАРИАЦИИ (VARIATIONS)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Вариант</w:t>
            </w:r>
          </w:p>
        </w:tc>
      </w:tr>
      <w:tr>
        <w:tc>
          <w:tcPr>
            <w:tcW w:type="dxa" w:w="4320"/>
          </w:tcPr>
          <w:p>
            <w:r/>
            <w:r>
              <w:t>1</w:t>
            </w:r>
          </w:p>
        </w:tc>
        <w:tc>
          <w:tcPr>
            <w:tcW w:type="dxa" w:w="4320"/>
          </w:tcPr>
          <w:p>
            <w:r/>
            <w:r>
              <w:t>Студент может указать сообщение одним из способов:</w:t>
            </w:r>
          </w:p>
          <w:p>
            <w:r>
              <w:t>· предзаполненный шаблон сценария (routing key + payload + headers по умолчанию)</w:t>
            </w:r>
          </w:p>
          <w:p>
            <w:r>
              <w:t>· собственный routing key и payload в текстовых полях</w:t>
            </w:r>
          </w:p>
          <w:p>
            <w:r>
              <w:t>· несколько сообщений подряд (count &gt; 1)</w:t>
            </w:r>
          </w:p>
          <w:p>
            <w:r>
              <w:t>· с указанием persistence (delivery mode) и priority</w:t>
            </w:r>
          </w:p>
        </w:tc>
      </w:tr>
    </w:tbl>
    <w:p/>
    <w:p>
      <w:pPr>
        <w:pStyle w:val="Heading2"/>
      </w:pPr>
      <w:r>
        <w:t>СВЯЗИ С ДРУГИМИ USE CASE</w:t>
      </w:r>
    </w:p>
    <w:p>
      <w:pPr>
        <w:pStyle w:val="ListBullet"/>
      </w:pPr>
      <w:r>
        <w:t>Расширяется: Acknowledge Message Delivery (use case 03) — условно, при потребителе с autoAck=false (расширение 6a).</w:t>
      </w:r>
    </w:p>
    <w:p>
      <w:pPr>
        <w:pStyle w:val="ListBullet"/>
      </w:pPr>
      <w:r>
        <w:t>Вызывает: Add Topology Element (use case 04) — при отсутствии producer (расширение 3a).</w:t>
      </w:r>
    </w:p>
    <w:p>
      <w:pPr>
        <w:pStyle w:val="Heading2"/>
      </w:pPr>
      <w:r>
        <w:t>ДИАГРАММА USE CASE</w:t>
      </w:r>
    </w:p>
    <w:p>
      <w:r>
        <w:drawing>
          <wp:inline xmlns:a="http://schemas.openxmlformats.org/drawingml/2006/main" xmlns:pic="http://schemas.openxmlformats.org/drawingml/2006/picture">
            <wp:extent cx="5334000" cy="1478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иаграмма UC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478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Собственная диаграмма сценария: [</w:t>
      </w:r>
      <w:r>
        <w:rPr>
          <w:rFonts w:ascii="Consolas" w:hAnsi="Consolas"/>
          <w:sz w:val="18"/>
        </w:rPr>
        <w:t>Диаграмма UC-02.png</w:t>
      </w:r>
      <w:r>
        <w:t>](Диаграмма%20UC-02.png). Системная диаграмма всех сценариев — в файле «Диаграмма Use Case системы».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