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03 | Acknowledge Message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03</w:t>
            </w:r>
          </w:p>
        </w:tc>
        <w:tc>
          <w:tcPr>
            <w:tcW w:type="dxa" w:w="4320"/>
          </w:tcPr>
          <w:p>
            <w:r/>
            <w:r>
              <w:t>Acknowledge Message Delivery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подтверждает (ack) или отклоняет (nack/reject) доставку сообщения активному потребителю и ожидает, что сообщение будет удалено из очереди или перенаправлено по правилам очереди (DLX/retry).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Очередь имеет активного consumer с autoAck=false. В очереди есть недоставленное (unacked) или готовое (ready) сообщение.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При ack: сообщение удалено из очереди, метрики ready/unacked уменьшены, acked увеличена. При nack с requeue: сообщение возвращено в очередь с меткой redelivered. При nack без requeue (или reject): сообщение перенаправлено в dead-letter exchange очереди (DLX) и доставлено в DLQ, либо удалено при отсутствии DLX.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Операция не выполнена. Сообщение осталось в прежнем состоянии (unacked/ready). Метрики не изменены.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 — инициирует ack/nack). Потребитель (consumer, вторичный — роль доставки и подтверждения).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нажимает ack, nack или reject на сообщении в инспекторе очереди.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выбирает сообщение в инспекторе очереди.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Студент нажимает ack (подтвердить) или nack (отклонить).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обрабатывает ack: удаляет сообщение из очереди.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уменьшает метрики ready или unacked и увеличивает метрику acked.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записывает результат подтверждения в журнал событий.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2a</w:t>
            </w:r>
          </w:p>
        </w:tc>
        <w:tc>
          <w:tcPr>
            <w:tcW w:type="dxa" w:w="4320"/>
          </w:tcPr>
          <w:p>
            <w:r/>
            <w:r>
              <w:t>Студент нажал nack (отклонить):</w:t>
            </w:r>
          </w:p>
          <w:p>
            <w:r>
              <w:t>2a1. Система определяет параметры requeue (повторная доставка) для операции.</w:t>
            </w:r>
          </w:p>
          <w:p>
            <w:r>
              <w:t>2a2. При requeue=true — вернуть сообщение в очередь с меткой redelivered, продолжить с шага 4.</w:t>
            </w:r>
          </w:p>
          <w:p>
            <w:r>
              <w:t>2a3. При requeue=false — перейти к 2a4.</w:t>
            </w:r>
          </w:p>
          <w:p>
            <w:r>
              <w:t>2a4. Система передаёт сообщение в dead-letter exchange очереди (если он задан).</w:t>
            </w:r>
          </w:p>
          <w:p>
            <w:r>
              <w:t>2a5. Система доставляет сообщение в DLQ (очередь, связанную с DLX) или удаляет его при отсутствии DLX; метрика dead-letter увеличена.</w:t>
            </w:r>
          </w:p>
          <w:p>
            <w:r>
              <w:t>2a6. Продолжить с шага 4.</w:t>
            </w:r>
          </w:p>
        </w:tc>
      </w:tr>
      <w:tr>
        <w:tc>
          <w:tcPr>
            <w:tcW w:type="dxa" w:w="4320"/>
          </w:tcPr>
          <w:p>
            <w:r/>
            <w:r>
              <w:t>3a</w:t>
            </w:r>
          </w:p>
        </w:tc>
        <w:tc>
          <w:tcPr>
            <w:tcW w:type="dxa" w:w="4320"/>
          </w:tcPr>
          <w:p>
            <w:r/>
            <w:r>
              <w:t>У очереди нет active consumer или consumer остановлен:</w:t>
            </w:r>
          </w:p>
          <w:p>
            <w:r>
              <w:t>3a1. Система сообщает студенту, что подтверждение невозможно.</w:t>
            </w:r>
          </w:p>
          <w:p>
            <w:r>
              <w:t>3a2. Завершить сценарий.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Студент может отклонить сообщение:</w:t>
            </w:r>
          </w:p>
          <w:p>
            <w:r>
              <w:t>· nack с requeue=true (повторная доставка)</w:t>
            </w:r>
          </w:p>
          <w:p>
            <w:r>
              <w:t>· nack с requeue=false (dead-letter)</w:t>
            </w:r>
          </w:p>
          <w:p>
            <w:r>
              <w:t>· reject (dead-letter, без requeue)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Publish Message (use case 02) — условно, при потребителе с autoAck=false (расширение 6a того UC).</w:t>
      </w:r>
    </w:p>
    <w:p>
      <w:pPr>
        <w:pStyle w:val="ListBullet"/>
      </w:pPr>
      <w:r>
        <w:t>Сам по себе не включает и не вызывает другие UC.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918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1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UC-03.png</w:t>
      </w:r>
      <w:r>
        <w:t>](Диаграмма%20UC-03.png).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