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 CASE 08 | Export Topology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Поле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Содержание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USE CASE 08</w:t>
            </w:r>
          </w:p>
        </w:tc>
        <w:tc>
          <w:tcPr>
            <w:tcW w:type="dxa" w:w="4320"/>
          </w:tcPr>
          <w:p>
            <w:r/>
            <w:r>
              <w:t>Export Topology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Описание</w:t>
            </w:r>
          </w:p>
        </w:tc>
        <w:tc>
          <w:tcPr>
            <w:tcW w:type="dxa" w:w="4320"/>
          </w:tcPr>
          <w:p>
            <w:r/>
            <w:r>
              <w:t>Студент выгружает текущую топологию в артефакт (definitions.json, project.json, topology.json, markdown, стартовый пакет) и ожидает получить файл для использования во внешнем окружении RabbitMQ.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Используется в</w:t>
            </w:r>
          </w:p>
        </w:tc>
        <w:tc>
          <w:tcPr>
            <w:tcW w:type="dxa" w:w="4320"/>
          </w:tcPr>
          <w:p>
            <w:r/>
            <w:r>
              <w:t>N/A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Предусловия</w:t>
            </w:r>
          </w:p>
        </w:tc>
        <w:tc>
          <w:tcPr>
            <w:tcW w:type="dxa" w:w="4320"/>
          </w:tcPr>
          <w:p>
            <w:r/>
            <w:r>
              <w:t>На холсте определена непустая топология.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Условие успешного завершения</w:t>
            </w:r>
          </w:p>
        </w:tc>
        <w:tc>
          <w:tcPr>
            <w:tcW w:type="dxa" w:w="4320"/>
          </w:tcPr>
          <w:p>
            <w:r/>
            <w:r>
              <w:t>Артефакт сформирован и загружен в браузер (файл сохранён студентом). Файл соответствует выбранному формату.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Условие завершения с ошибкой</w:t>
            </w:r>
          </w:p>
        </w:tc>
        <w:tc>
          <w:tcPr>
            <w:tcW w:type="dxa" w:w="4320"/>
          </w:tcPr>
          <w:p>
            <w:r/>
            <w:r>
              <w:t>Артефакт не сформирован. Отображена причина (топология пуста, формат не поддерживает текущую схему).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Акторы</w:t>
            </w:r>
          </w:p>
        </w:tc>
        <w:tc>
          <w:tcPr>
            <w:tcW w:type="dxa" w:w="4320"/>
          </w:tcPr>
          <w:p>
            <w:r/>
            <w:r>
              <w:t>Студент (первичный).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Стимул</w:t>
            </w:r>
          </w:p>
        </w:tc>
        <w:tc>
          <w:tcPr>
            <w:tcW w:type="dxa" w:w="4320"/>
          </w:tcPr>
          <w:p>
            <w:r/>
            <w:r>
              <w:t>Студент выбирает «Экспорт» и формат артефакта.</w:t>
            </w:r>
          </w:p>
        </w:tc>
      </w:tr>
    </w:tbl>
    <w:p/>
    <w:p>
      <w:pPr>
        <w:pStyle w:val="Heading2"/>
      </w:pPr>
      <w:r>
        <w:t>ОСНОВНОЙ ПОТОК (DESCRIPTION)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Действие</w:t>
            </w:r>
          </w:p>
        </w:tc>
      </w:tr>
      <w:tr>
        <w:tc>
          <w:tcPr>
            <w:tcW w:type="dxa" w:w="4320"/>
          </w:tcPr>
          <w:p>
            <w:r/>
            <w:r>
              <w:t>1</w:t>
            </w:r>
          </w:p>
        </w:tc>
        <w:tc>
          <w:tcPr>
            <w:tcW w:type="dxa" w:w="4320"/>
          </w:tcPr>
          <w:p>
            <w:r/>
            <w:r>
              <w:t>Студент выбирает «Экспорт».</w:t>
            </w:r>
          </w:p>
        </w:tc>
      </w:tr>
      <w:tr>
        <w:tc>
          <w:tcPr>
            <w:tcW w:type="dxa" w:w="4320"/>
          </w:tcPr>
          <w:p>
            <w:r/>
            <w:r>
              <w:t>2</w:t>
            </w:r>
          </w:p>
        </w:tc>
        <w:tc>
          <w:tcPr>
            <w:tcW w:type="dxa" w:w="4320"/>
          </w:tcPr>
          <w:p>
            <w:r/>
            <w:r>
              <w:t>Студент выбирает формат артефакта (definitions.json, project.json, topology.json, markdown, стартовый пакет).</w:t>
            </w:r>
          </w:p>
        </w:tc>
      </w:tr>
      <w:tr>
        <w:tc>
          <w:tcPr>
            <w:tcW w:type="dxa" w:w="4320"/>
          </w:tcPr>
          <w:p>
            <w:r/>
            <w:r>
              <w:t>3</w:t>
            </w:r>
          </w:p>
        </w:tc>
        <w:tc>
          <w:tcPr>
            <w:tcW w:type="dxa" w:w="4320"/>
          </w:tcPr>
          <w:p>
            <w:r/>
            <w:r>
              <w:t>Система формирует содержимое артефакта по модели топологии.</w:t>
            </w:r>
          </w:p>
        </w:tc>
      </w:tr>
      <w:tr>
        <w:tc>
          <w:tcPr>
            <w:tcW w:type="dxa" w:w="4320"/>
          </w:tcPr>
          <w:p>
            <w:r/>
            <w:r>
              <w:t>4</w:t>
            </w:r>
          </w:p>
        </w:tc>
        <w:tc>
          <w:tcPr>
            <w:tcW w:type="dxa" w:w="4320"/>
          </w:tcPr>
          <w:p>
            <w:r/>
            <w:r>
              <w:t>Система предлагает студенту скачать файл.</w:t>
            </w:r>
          </w:p>
        </w:tc>
      </w:tr>
      <w:tr>
        <w:tc>
          <w:tcPr>
            <w:tcW w:type="dxa" w:w="4320"/>
          </w:tcPr>
          <w:p>
            <w:r/>
            <w:r>
              <w:t>5</w:t>
            </w:r>
          </w:p>
        </w:tc>
        <w:tc>
          <w:tcPr>
            <w:tcW w:type="dxa" w:w="4320"/>
          </w:tcPr>
          <w:p>
            <w:r/>
            <w:r>
              <w:t>Студент сохраняет файл.</w:t>
            </w:r>
          </w:p>
        </w:tc>
      </w:tr>
    </w:tbl>
    <w:p/>
    <w:p>
      <w:pPr>
        <w:pStyle w:val="Heading2"/>
      </w:pPr>
      <w:r>
        <w:t>РАСШИРЕНИЯ (EXTENSIONS)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Ветвление</w:t>
            </w:r>
          </w:p>
        </w:tc>
      </w:tr>
      <w:tr>
        <w:tc>
          <w:tcPr>
            <w:tcW w:type="dxa" w:w="4320"/>
          </w:tcPr>
          <w:p>
            <w:r/>
            <w:r>
              <w:t>3a</w:t>
            </w:r>
          </w:p>
        </w:tc>
        <w:tc>
          <w:tcPr>
            <w:tcW w:type="dxa" w:w="4320"/>
          </w:tcPr>
          <w:p>
            <w:r/>
            <w:r>
              <w:t>Топология пуста:</w:t>
            </w:r>
          </w:p>
          <w:p>
            <w:r>
              <w:t>3a1. Система отображает «нет данных для экспорта».</w:t>
            </w:r>
          </w:p>
          <w:p>
            <w:r>
              <w:t>3a2. Завершить сценарий.</w:t>
            </w:r>
          </w:p>
        </w:tc>
      </w:tr>
    </w:tbl>
    <w:p/>
    <w:p>
      <w:pPr>
        <w:pStyle w:val="Heading2"/>
      </w:pPr>
      <w:r>
        <w:t>ВАРИАЦИИ (VARIATIONS)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Вариант</w:t>
            </w:r>
          </w:p>
        </w:tc>
      </w:tr>
      <w:tr>
        <w:tc>
          <w:tcPr>
            <w:tcW w:type="dxa" w:w="4320"/>
          </w:tcPr>
          <w:p>
            <w:r/>
            <w:r>
              <w:t>2</w:t>
            </w:r>
          </w:p>
        </w:tc>
        <w:tc>
          <w:tcPr>
            <w:tcW w:type="dxa" w:w="4320"/>
          </w:tcPr>
          <w:p>
            <w:r/>
            <w:r>
              <w:t>Студент может выбрать формат:</w:t>
            </w:r>
          </w:p>
          <w:p>
            <w:r>
              <w:t>· definitions.json — формат RabbitMQ (exchanges, queues, bindings)</w:t>
            </w:r>
          </w:p>
          <w:p>
            <w:r>
              <w:t>· project.json — полное состояние проекта (включая producers/consumers)</w:t>
            </w:r>
          </w:p>
          <w:p>
            <w:r>
              <w:t>· topology.json — только граф узел-связь</w:t>
            </w:r>
          </w:p>
          <w:p>
            <w:r>
              <w:t>· markdown — описание схемы текстом</w:t>
            </w:r>
          </w:p>
          <w:p>
            <w:r>
              <w:t>· стартовый пакет — комплект файлов для развертывания</w:t>
            </w:r>
          </w:p>
        </w:tc>
      </w:tr>
    </w:tbl>
    <w:p/>
    <w:p>
      <w:pPr>
        <w:pStyle w:val="Heading2"/>
      </w:pPr>
      <w:r>
        <w:t>СВЯЗИ С ДРУГИМИ USE CASE</w:t>
      </w:r>
    </w:p>
    <w:p>
      <w:pPr>
        <w:pStyle w:val="ListBullet"/>
      </w:pPr>
      <w:r>
        <w:t>Сам по себе не включает и не вызывается другими UC.</w:t>
      </w:r>
    </w:p>
    <w:p>
      <w:pPr>
        <w:pStyle w:val="Heading2"/>
      </w:pPr>
      <w:r>
        <w:t>ДИАГРАММА USE CASE</w:t>
      </w:r>
    </w:p>
    <w:p>
      <w:r>
        <w:drawing>
          <wp:inline xmlns:a="http://schemas.openxmlformats.org/drawingml/2006/main" xmlns:pic="http://schemas.openxmlformats.org/drawingml/2006/picture">
            <wp:extent cx="5334000" cy="17834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Диаграмма UC-0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783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Собственная диаграмма сценария: [</w:t>
      </w:r>
      <w:r>
        <w:rPr>
          <w:rFonts w:ascii="Consolas" w:hAnsi="Consolas"/>
          <w:sz w:val="18"/>
        </w:rPr>
        <w:t>Диаграмма UC-08.png</w:t>
      </w:r>
      <w:r>
        <w:t>](Диаграмма%20UC-08.png). Системная диаграмма всех сценариев — в файле «Диаграмма Use Case системы».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