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04 | Import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04</w:t>
            </w:r>
          </w:p>
        </w:tc>
        <w:tc>
          <w:tcPr>
            <w:tcW w:type="dxa" w:w="4320"/>
          </w:tcPr>
          <w:p>
            <w:r/>
            <w:r>
              <w:t>Import JSON Schema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t>Бизнес-аналитик загружает схему данных в формате JSON (файлом или текстом) и ожидает, что система применит её к справочнику и отобразит в таблице полей.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t>Открыт черновик справочника.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t>Схема из JSON применена: все поля (включая вложенные объекты) отображены в таблице схемы с кодом, названием, типом и обязательностью.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t>Схема не применена. Текущая схема сохранена без изменений. Отображена причина (невалидный JSON, ошибки в структуре).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t>Бизнес-аналитик (первичный).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t>Пользователь нажимает «Импорт из JSON».</w:t>
            </w:r>
          </w:p>
        </w:tc>
      </w:tr>
    </w:tbl>
    <w:p/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Бизнес-аналитик нажимает «Импорт из JSON».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Пользователь предоставляет JSON-схему (файл или текст).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Система проверяет синтаксис JSON.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Система проверяет структуру схемы (известные типы полей, атрибуты).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Система заменяет текущую схему данных на импортированную.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Система отображает импортированную схему в таблице полей.</w:t>
            </w:r>
          </w:p>
        </w:tc>
      </w:tr>
    </w:tbl>
    <w:p/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t>3a</w:t>
            </w:r>
          </w:p>
        </w:tc>
        <w:tc>
          <w:tcPr>
            <w:tcW w:type="dxa" w:w="4320"/>
          </w:tcPr>
          <w:p>
            <w:r/>
            <w:r>
              <w:t>JSON невалиден (синтаксическая ошибка):</w:t>
            </w:r>
          </w:p>
          <w:p>
            <w:r>
              <w:t>3a1. Система отображает позицию и суть ошибки.</w:t>
            </w:r>
          </w:p>
          <w:p>
            <w:r>
              <w:t>3a2. Продолжить с шага 2 (пользователь исправляет JSON).</w:t>
            </w:r>
          </w:p>
        </w:tc>
      </w:tr>
      <w:tr>
        <w:tc>
          <w:tcPr>
            <w:tcW w:type="dxa" w:w="4320"/>
          </w:tcPr>
          <w:p>
            <w:r/>
            <w:r>
              <w:t>4a</w:t>
            </w:r>
          </w:p>
        </w:tc>
        <w:tc>
          <w:tcPr>
            <w:tcW w:type="dxa" w:w="4320"/>
          </w:tcPr>
          <w:p>
            <w:r/>
            <w:r>
              <w:t>В схеме неизвестный тип поля или неверная структура:</w:t>
            </w:r>
          </w:p>
          <w:p>
            <w:r>
              <w:t>4a1. Система перечисляет некорректные элементы.</w:t>
            </w:r>
          </w:p>
          <w:p>
            <w:r>
              <w:t>4a2. Продолжить с шага 2.</w:t>
            </w:r>
          </w:p>
        </w:tc>
      </w:tr>
    </w:tbl>
    <w:p/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Схема может быть предоставлена:</w:t>
            </w:r>
          </w:p>
          <w:p>
            <w:r>
              <w:t>· файлом (загрузкой)</w:t>
            </w:r>
          </w:p>
          <w:p>
            <w:r>
              <w:t>· текстом в поле редактора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t>Сам по себе не вызывает другие UC.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461000" cy="1318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318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Собственная диаграмма сценария: [</w:t>
      </w:r>
      <w:r>
        <w:rPr>
          <w:rFonts w:ascii="Consolas" w:hAnsi="Consolas"/>
          <w:sz w:val="18"/>
        </w:rPr>
        <w:t>Диаграмма UC-04.png</w:t>
      </w:r>
      <w:r>
        <w:t>](Диаграмма%20UC-04.png). Системная диаграмма — в файле «Диаграмма Use Case системы».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