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Características Histopatológicas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Fonte (texto e imagens): Neville. 4ª edição,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Pênfigo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Doença Vesiculobolhosa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Separação intraepitelial característica, que ocorre acima da camada de células basais do epitélio.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Pode ocorrer de todas as camadas superficiais do epitélio estarem descamadas, deixando somente as células basais, que são descritas sendo semelhantes à “fileira de pedras de sepulturas”.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células da camada espinhosa do epitélio de superfície apresentam-se tipicamente separadas, uma característica que tem sido denominada acantólise, e as células soltas tendem a assumir uma forma arredondada.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Essa característica do pênfigo vulgar pode ser utilizada para realizar o diagnóstico baseado na identificação dessas células arredondadas (células de Tzanck) no exame de citologia esfoliativa.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 infiltrado leve a moderado de células inflamatórias crônicas normalmente é observado no tecido conjuntivo subjacente.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Legenda das fotomicrografias: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f3f3f3"/>
          <w:shd w:fill="700097" w:val="clear"/>
          <w:rtl w:val="0"/>
        </w:rPr>
        <w:t xml:space="preserve">Epitélio normal. </w:t>
      </w:r>
      <w:r w:rsidDel="00000000" w:rsidR="00000000" w:rsidRPr="00000000">
        <w:rPr>
          <w:color w:val="f3f3f3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COR: #700097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f3f3f3"/>
          <w:shd w:fill="e03fc0" w:val="clear"/>
          <w:rtl w:val="0"/>
        </w:rPr>
        <w:t xml:space="preserve">Tecido conjuntivo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COR: #e03fc0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hd w:fill="24e237" w:val="clear"/>
        </w:rPr>
      </w:pPr>
      <w:r w:rsidDel="00000000" w:rsidR="00000000" w:rsidRPr="00000000">
        <w:rPr>
          <w:shd w:fill="24e237" w:val="clear"/>
          <w:rtl w:val="0"/>
        </w:rPr>
        <w:t xml:space="preserve">Acantólise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COR: #24e237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hd w:fill="1303e4" w:val="clear"/>
        </w:rPr>
      </w:pPr>
      <w:r w:rsidDel="00000000" w:rsidR="00000000" w:rsidRPr="00000000">
        <w:rPr>
          <w:color w:val="f3f3f3"/>
          <w:shd w:fill="1303e4" w:val="clear"/>
          <w:rtl w:val="0"/>
        </w:rPr>
        <w:t xml:space="preserve">Células basais do epitélio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COR: #1303e4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