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implementado (13 de octubre de 2026). Subclases pendientes; la próxima es el Maestro de bestias con su Lobo.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Kit base implementado</w:t>
            </w:r>
          </w:p>
        </w:tc>
        <w:tc>
          <w:tcPr>
            <w:tcW w:w="5200" w:type="dxa"/>
            <w:tcMar>
              <w:top w:w="60" w:type="dxa"/>
              <w:left w:w="100" w:type="dxa"/>
              <w:bottom w:w="60" w:type="dxa"/>
              <w:right w:w="100" w:type="dxa"/>
            </w:tcMar>
          </w:tcPr>
          <w:p w:rsidR="001055DC" w:rsidRDefault="00E86164">
            <w:r>
              <w:rPr>
                <w:sz w:val="20"/>
                <w:szCs w:val="20"/>
              </w:rPr>
              <w:t xml:space="preserve">Pendientes (sigue el Maestro de bestias)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