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Además, al bajar del 30 % de vida regenera hasta un 80 % de su vida máxima a lo largo de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Ataques moderados a velocidad moderada.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(recibe menos daño) y ofensiva (hace más daño, sin el beneficio anterior). Empieza en defensiva. Tiene 0.5 s de tiempo de reutilización, solo para que no se pueda alternar a golpe de clic.</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salta hacia ella haciendo daño al impactar.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Su postura ofensiva cambia el arma a un mandoble, con ataques en arco. Su “Apuntado” pasa a ser un ataque cargado de hasta 3 etapas.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Desarme</w:t>
            </w:r>
          </w:p>
        </w:tc>
        <w:tc>
          <w:tcPr>
            <w:tcW w:w="6500" w:type="dxa"/>
            <w:tcMar>
              <w:top w:w="60" w:type="dxa"/>
              <w:left w:w="100" w:type="dxa"/>
              <w:bottom w:w="60" w:type="dxa"/>
              <w:right w:w="100" w:type="dxa"/>
            </w:tcMar>
          </w:tcPr>
          <w:p w:rsidR="001055DC" w:rsidRDefault="00E86164">
            <w:r>
              <w:rPr>
                <w:sz w:val="20"/>
                <w:szCs w:val="20"/>
              </w:rPr>
              <w:t>Desarma al enemigo frente a él: no puede atacar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Al dañar a un enemigo lo marca un corto periodo; el marcado recibe daño aumentado.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Por un tiempo es inmune al control de masas y aumenta su daño y el de Punto débil.</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el bloqueo pierde menos resistencia,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Implementado (30 de septiembre de 2026): el tag State_Disarmed bloquea el ataque básico de cualquier clase y deja las habilidades. Lo usa la Zona de verdad; lo va a reusar el Maestro de batalla del Guerrero.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