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w:t>
      </w:r>
      <w:r>
        <w:rPr>
          <w:sz w:val="20"/>
          <w:szCs w:val="20"/>
        </w:rPr>
        <w:t xml:space="preserve">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NetworkAnimator del prefab del jugador está inerte: su campo Animator quedó vacío y el Animator vive en un hijo, así que FishNet no lo encuentra y no sincroniza nada, sin avisar.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está inerte. Se manda a mano.</w:t>
      </w:r>
    </w:p>
    <w:p>
      <w:pPr>
        <w:pStyle w:val="ListParagraph"/>
        <w:numPr>
          <w:ilvl w:val="0"/>
          <w:numId w:val="2"/>
        </w:numPr>
        <w:spacing w:after="60"/>
      </w:pPr>
      <w:r>
        <w:t xml:space="preserve">Curar escribiendo la vida directo sin llamar NotifyHealedAlly: funciona, pero el Soporte no carga la definitiva con esa curación.</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