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Defensa</w:t>
      </w:r>
      <w:r>
        <w:t xml:space="preserve"> (fija): resta un valor plano, y </w:t>
      </w:r>
      <w:r>
        <w:rPr>
          <w:b/>
          <w:bCs/>
        </w:rPr>
        <w:t xml:space="preserve">solo al daño físico</w:t>
      </w:r>
      <w:r>
        <w:t xml:space="preserve">. Con un piso: un golpe que conecta nunca hace 0.</w:t>
      </w:r>
    </w:p>
    <w:p>
      <w:pPr>
        <w:pBdr>
          <w:left w:val="single" w:color="E0A800" w:sz="14" w:space="6"/>
        </w:pBdr>
        <w:shd w:fill="FFF6DA" w:val="clear"/>
        <w:spacing w:after="160" w:before="100"/>
        <w:ind w:left="144" w:right="144"/>
      </w:pPr>
      <w:r>
        <w:rPr>
          <w:sz w:val="20"/>
          <w:szCs w:val="20"/>
        </w:rPr>
        <w:t xml:space="preserve">La Defensa se descuenta POR GOLPE, así que castiga mucho más a los ataques rápidos y a los ticks de veneno que a un golpe único y grande. Es un detalle de balance que conviene tener presente al diseñar.</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Reducción FIJA del daño físico, por golpe.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