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Maestro de batalla implementados y probados; Comandante implementado, por probar (1 de octubre de 2026); Guardián pendiente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da +3 de armadura en lugar de +2, tiene el doble de energía para bloquear,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 crece con la vida que le falta y llega al máximo (30 % de resistencia al daño y al control) a la mitad de la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Kit base implementado</w:t>
            </w:r>
          </w:p>
        </w:tc>
        <w:tc>
          <w:tcPr>
            <w:tcW w:w="5200" w:type="dxa"/>
            <w:tcMar>
              <w:top w:w="60" w:type="dxa"/>
              <w:left w:w="100" w:type="dxa"/>
              <w:bottom w:w="60" w:type="dxa"/>
              <w:right w:w="100" w:type="dxa"/>
            </w:tcMar>
          </w:tcPr>
          <w:p w:rsidR="001055DC" w:rsidRDefault="00E86164">
            <w:r>
              <w:rPr>
                <w:sz w:val="20"/>
                <w:szCs w:val="20"/>
              </w:rPr>
              <w:t xml:space="preserve">Maestro de batalla implementado · Comandante implementado (por probar) · Guardián pendiente</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