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w:t>
      </w:r>
      <w:r>
        <w:rPr>
          <w:sz w:val="20"/>
          <w:szCs w:val="20"/>
        </w:rPr>
        <w:t xml:space="preserve">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la última: OffHandPose, con la máscara del brazo izquierdo y un solo estado con PLACEHOLDER_OffHandPose. Es la pose fija de la mano secundaria mientras se juega una clase (el libro del Clérigo): si el CharacterClassDefinition trae un clip en OffHandPose, BuildClassAnimator lo mete en esa ranura y la capa va a peso 1; si no, queda en 0 y el brazo se anima normal. Por ir al final, el brazo sigue sosteniendo el objeto mientras UpperBody ataca con la otra mano. Cambiar de controller devuelve las capas a su peso por defecto, así que el peso se pone después de asignarlo; al morir sin ragdoll se apaga para que el brazo caiga con el cuerpo, y se vuelve a prender al revivir.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