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w:t>
      </w:r>
      <w:r>
        <w:rPr>
          <w:sz w:val="20"/>
          <w:szCs w:val="20"/>
        </w:rPr>
        <w:t xml:space="preserve">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la última: OffHandPose, con la máscara del brazo izquierdo y un solo estado con PLACEHOLDER_OffHandPose. Es la pose fija de la mano secundaria mientras se juega una clase (el libro del Clérigo): si el CharacterClassDefinition trae un clip en OffHandPose, BuildClassAnimator lo mete en esa ranura y la capa va a peso 1; si no, queda en 0 y el brazo se anima normal. Por ir al final, el brazo sigue sosteniendo el objeto mientras UpperBody ataca con la otra mano. Cambiar de controller devuelve las capas a su peso por defecto, así que el peso se pone después de asignarlo; al morir sin ragdoll se apaga para que el brazo caiga con el cuerpo, y se vuelve a prender al revivir.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solo el movimiento.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habilidades; el movimiento sigue permitido.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Desarmar: el tag State_Disarmed bloquea el ATAQUE BÁSICO de cualquier clase y deja sus habilidades. Se resuelve en GameplayAbility.CanActivate con IsBasicAttack, una marca que PlayerController le pone al clic izquierdo al equipar (igual que IsUltimate a la R), así que vale para el servidor, la predicción del dueño y los bots sin tocar ningún asset. Lo da la Zona de verdad del Clérigo del Orden.</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