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ConeAngle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w:t>
            </w:r>
            <w:r>
              <w:rPr>
                <w:sz w:val="20"/>
                <w:szCs w:val="20"/>
              </w:rPr>
              <w:t xml:space="preserve">, </w:t>
            </w:r>
            <w:r>
              <w:rPr>
                <w:rFonts w:ascii="Consolas" w:cs="Consolas" w:eastAsia="Consolas" w:hAnsi="Consolas"/>
                <w:sz w:val="18"/>
                <w:szCs w:val="18"/>
              </w:rPr>
              <w:t xml:space="preserve">Width</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w:t>
            </w:r>
            <w:r>
              <w:rPr>
                <w:sz w:val="20"/>
                <w:szCs w:val="20"/>
              </w:rPr>
              <w:t xml:space="preserve">, </w:t>
            </w:r>
            <w:r>
              <w:rPr>
                <w:rFonts w:ascii="Consolas" w:cs="Consolas" w:eastAsia="Consolas" w:hAnsi="Consolas"/>
                <w:sz w:val="18"/>
                <w:szCs w:val="18"/>
              </w:rPr>
              <w:t xml:space="preserve">LaunchForce</w:t>
            </w:r>
            <w:r>
              <w:rPr>
                <w:sz w:val="20"/>
                <w:szCs w:val="20"/>
              </w:rPr>
              <w:t xml:space="preserve">, </w:t>
            </w:r>
            <w:r>
              <w:rPr>
                <w:rFonts w:ascii="Consolas" w:cs="Consolas" w:eastAsia="Consolas" w:hAnsi="Consolas"/>
                <w:sz w:val="18"/>
                <w:szCs w:val="18"/>
              </w:rPr>
              <w:t xml:space="preserve">LifeTime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w:t>
            </w:r>
            <w:r>
              <w:rPr>
                <w:sz w:val="20"/>
                <w:szCs w:val="20"/>
              </w:rPr>
              <w:t xml:space="preserve">, </w:t>
            </w:r>
            <w:r>
              <w:rPr>
                <w:rFonts w:ascii="Consolas" w:cs="Consolas" w:eastAsia="Consolas" w:hAnsi="Consolas"/>
                <w:sz w:val="18"/>
                <w:szCs w:val="18"/>
              </w:rPr>
              <w:t xml:space="preserve">ForwardForce</w:t>
            </w:r>
            <w:r>
              <w:rPr>
                <w:sz w:val="20"/>
                <w:szCs w:val="20"/>
              </w:rPr>
              <w:t xml:space="preserve">, </w:t>
            </w:r>
            <w:r>
              <w:rPr>
                <w:rFonts w:ascii="Consolas" w:cs="Consolas" w:eastAsia="Consolas" w:hAnsi="Consolas"/>
                <w:sz w:val="18"/>
                <w:szCs w:val="18"/>
              </w:rPr>
              <w:t xml:space="preserve">ImpactRadius</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Si te la olvidás, la habilidad funciona pero sus VFX solo se ven en el host.</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