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itle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Heading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Heading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Heading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Heading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Heading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2225098" w:rsidR="00B265A1" w:rsidRPr="006E41B0" w:rsidRDefault="00C95008" w:rsidP="006E41B0">
            <w:r>
              <w:t>dd</w:t>
            </w:r>
            <w:r w:rsidR="20B68DDA">
              <w:t>/</w:t>
            </w:r>
            <w:r>
              <w:t>mm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2D654083" w:rsidR="20B68DDA" w:rsidRDefault="000E245C" w:rsidP="5936CF14">
            <w:r>
              <w:t>Online – Discord</w:t>
            </w:r>
            <w:r w:rsidR="00C95008">
              <w:t xml:space="preserve"> / </w:t>
            </w:r>
            <w:proofErr w:type="spellStart"/>
            <w:r w:rsidR="00C95008"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Heading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Heading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Heading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Heading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Heading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Heading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Heading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Heading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Heading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Heading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Heading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Heading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Heading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Heading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Heading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AE2B66E" w:rsidR="006B2573" w:rsidRDefault="00C95008" w:rsidP="009D1D64">
            <w:r>
              <w:t>dd</w:t>
            </w:r>
            <w:r w:rsidR="38BE7E86">
              <w:t>/</w:t>
            </w:r>
            <w:r>
              <w:t>mm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850865" w:rsidP="00850865">
            <w:pPr>
              <w:pStyle w:val="Heading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Heading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850865" w:rsidP="00850865">
            <w:pPr>
              <w:pStyle w:val="Heading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Heading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850865" w:rsidP="00850865">
            <w:pPr>
              <w:pStyle w:val="Heading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Heading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Heading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Heading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Heading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Heading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Heading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D917" w14:textId="77777777" w:rsidR="00B52F81" w:rsidRDefault="00B52F81">
      <w:pPr>
        <w:spacing w:after="0" w:line="240" w:lineRule="auto"/>
      </w:pPr>
      <w:r>
        <w:separator/>
      </w:r>
    </w:p>
  </w:endnote>
  <w:endnote w:type="continuationSeparator" w:id="0">
    <w:p w14:paraId="58CD0D9C" w14:textId="77777777" w:rsidR="00B52F81" w:rsidRDefault="00B52F81">
      <w:pPr>
        <w:spacing w:after="0" w:line="240" w:lineRule="auto"/>
      </w:pPr>
      <w:r>
        <w:continuationSeparator/>
      </w:r>
    </w:p>
  </w:endnote>
  <w:endnote w:type="continuationNotice" w:id="1">
    <w:p w14:paraId="2A21105D" w14:textId="77777777" w:rsidR="00B52F81" w:rsidRDefault="00B52F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48ED" w14:textId="77777777" w:rsidR="00B52F81" w:rsidRDefault="00B52F81">
      <w:pPr>
        <w:spacing w:after="0" w:line="240" w:lineRule="auto"/>
      </w:pPr>
      <w:r>
        <w:separator/>
      </w:r>
    </w:p>
  </w:footnote>
  <w:footnote w:type="continuationSeparator" w:id="0">
    <w:p w14:paraId="3725CA07" w14:textId="77777777" w:rsidR="00B52F81" w:rsidRDefault="00B52F81">
      <w:pPr>
        <w:spacing w:after="0" w:line="240" w:lineRule="auto"/>
      </w:pPr>
      <w:r>
        <w:continuationSeparator/>
      </w:r>
    </w:p>
  </w:footnote>
  <w:footnote w:type="continuationNotice" w:id="1">
    <w:p w14:paraId="64C10FD0" w14:textId="77777777" w:rsidR="00B52F81" w:rsidRDefault="00B52F8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SubtleEmphasis">
    <w:name w:val="Subtle Emphasis"/>
    <w:basedOn w:val="DefaultParagraphFont"/>
    <w:uiPriority w:val="10"/>
    <w:semiHidden/>
    <w:qFormat/>
    <w:rsid w:val="006E41B0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925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SubtleEmphasis">
    <w:name w:val="Subtle Emphasis"/>
    <w:basedOn w:val="DefaultParagraphFont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