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Casos de uso.</w:t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Especificación del Caso de Uso</w:t>
      </w:r>
    </w:p>
    <w:tbl>
      <w:tblPr>
        <w:tblStyle w:val="Table1"/>
        <w:tblW w:w="9450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3975"/>
        <w:gridCol w:w="3915"/>
        <w:tblGridChange w:id="0">
          <w:tblGrid>
            <w:gridCol w:w="1560"/>
            <w:gridCol w:w="3975"/>
            <w:gridCol w:w="391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Caso de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 y trazabilidad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Actores involucrados</w:t>
            </w:r>
          </w:p>
        </w:tc>
      </w:tr>
      <w:tr>
        <w:trPr>
          <w:cantSplit w:val="0"/>
          <w:trHeight w:val="991.8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Ingresar al sistema iniciando sesión (Autenticación)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left="144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RF-001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Diseñador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Registrarse en la plataforma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RF-002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Recuperar contraseña olvidada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Administrador, Cliente, Diseñador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Cambiar contraseña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Administrador, Cliente, Diseñador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Gestionar perfil de usuario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RF-003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Visualizar catálogo de productos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RF-004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Personalizar carta con previsualización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RF-005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Administrar carrito de compras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RF-006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Confirmar y consultar pedidos (Cliente)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RF-007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Gestionar pedidos (Administrador)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RF-008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Administrador, Diseñador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Realizar pago mediante Mercado Pago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RF-009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Gestionar envíos de pedidos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RF-010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Administrador, 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Panel de administración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RF-011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Generar reportes y estadísticas de ventas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RF-012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Comprar carta con NFC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RF-014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Escanear QR de carta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Escanear NFC de carta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RF-014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Registrar NFC a la cuenta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RF-014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Generar QR de carta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RF-015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Acceder al minijuego (genérico)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RF-017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Acceder al minijuego (personalizado a traves de nfc)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RF-017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Redirigir a App móvil desde QR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RF-018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Comunicarse vía chat (web/móvil)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RF-018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Cliente-diseñador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Consultar historial de compras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RF-018 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Gestionar subastas de cartas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RF-020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Administrador/Diseñador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Participar de una subasta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288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RF-020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07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