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9"/>
        <w:gridCol w:w="5978"/>
      </w:tblGrid>
      <w:tr w14:paraId="1D267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439" w:type="dxa"/>
            <w:vMerge w:val="restart"/>
          </w:tcPr>
          <w:p w14:paraId="06C8E976">
            <w:pPr>
              <w:pStyle w:val="13"/>
              <w:tabs>
                <w:tab w:val="clear" w:pos="4419"/>
              </w:tabs>
              <w:jc w:val="center"/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drawing>
                <wp:inline distT="0" distB="0" distL="114300" distR="114300">
                  <wp:extent cx="2270125" cy="1594485"/>
                  <wp:effectExtent l="0" t="0" r="635" b="5715"/>
                  <wp:docPr id="1" name="Imagem 1" descr="Captura de tela 2024-11-11 18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aptura de tela 2024-11-11 1849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</w:tcPr>
          <w:p w14:paraId="14D31281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Nome da Equipe: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FWGG</w:t>
            </w:r>
          </w:p>
        </w:tc>
      </w:tr>
      <w:tr w14:paraId="14E03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439" w:type="dxa"/>
            <w:vMerge w:val="continue"/>
          </w:tcPr>
          <w:p w14:paraId="0A37501D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978" w:type="dxa"/>
          </w:tcPr>
          <w:p w14:paraId="593F10DA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Nome do Projeto: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Medius</w:t>
            </w:r>
          </w:p>
        </w:tc>
      </w:tr>
      <w:tr w14:paraId="478D8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439" w:type="dxa"/>
            <w:vMerge w:val="continue"/>
          </w:tcPr>
          <w:p w14:paraId="5DAB6C7B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978" w:type="dxa"/>
          </w:tcPr>
          <w:p w14:paraId="2A00273B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Turma: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4MA</w:t>
            </w:r>
          </w:p>
        </w:tc>
      </w:tr>
      <w:tr w14:paraId="41586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439" w:type="dxa"/>
            <w:vMerge w:val="continue"/>
          </w:tcPr>
          <w:p w14:paraId="02EB378F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978" w:type="dxa"/>
          </w:tcPr>
          <w:p w14:paraId="357FEAA8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Aluno: 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Felipe Alberto Barrêto</w:t>
            </w:r>
          </w:p>
        </w:tc>
      </w:tr>
      <w:tr w14:paraId="5C0A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439" w:type="dxa"/>
            <w:vMerge w:val="continue"/>
          </w:tcPr>
          <w:p w14:paraId="6A05A809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978" w:type="dxa"/>
          </w:tcPr>
          <w:p w14:paraId="47D2E210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Aluno: 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Gustavo de Jesus Fernandes</w:t>
            </w:r>
          </w:p>
        </w:tc>
      </w:tr>
      <w:tr w14:paraId="13EA5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439" w:type="dxa"/>
            <w:vMerge w:val="continue"/>
          </w:tcPr>
          <w:p w14:paraId="5A39BBE3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978" w:type="dxa"/>
          </w:tcPr>
          <w:p w14:paraId="44DC21D5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Aluno: 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William Paulo de Araujo Oliveira</w:t>
            </w:r>
          </w:p>
        </w:tc>
      </w:tr>
      <w:tr w14:paraId="1EEBC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439" w:type="dxa"/>
            <w:vMerge w:val="continue"/>
          </w:tcPr>
          <w:p w14:paraId="41C8F39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978" w:type="dxa"/>
          </w:tcPr>
          <w:p w14:paraId="150706A7">
            <w:pPr>
              <w:pStyle w:val="13"/>
              <w:tabs>
                <w:tab w:val="clear" w:pos="4419"/>
              </w:tabs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Aluno:  </w:t>
            </w:r>
            <w:r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  <w:t>Guilherme Vitor Morais</w:t>
            </w:r>
          </w:p>
        </w:tc>
      </w:tr>
    </w:tbl>
    <w:p w14:paraId="72A3D3EC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17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 w14:paraId="44FE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" w:hRule="atLeast"/>
        </w:trPr>
        <w:tc>
          <w:tcPr>
            <w:tcW w:w="10336" w:type="dxa"/>
          </w:tcPr>
          <w:p w14:paraId="263B61E8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Problema </w:t>
            </w:r>
          </w:p>
        </w:tc>
      </w:tr>
      <w:tr w14:paraId="2D24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1" w:hRule="atLeast"/>
        </w:trPr>
        <w:tc>
          <w:tcPr>
            <w:tcW w:w="10336" w:type="dxa"/>
          </w:tcPr>
          <w:p w14:paraId="0D0B940D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BBE7C61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Descreva o problema </w:t>
            </w:r>
          </w:p>
          <w:p w14:paraId="0E27B00A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0061E4C">
            <w:pPr>
              <w:pStyle w:val="13"/>
              <w:tabs>
                <w:tab w:val="clear" w:pos="4419"/>
              </w:tabs>
              <w:jc w:val="center"/>
              <w:rPr>
                <w:rFonts w:hint="default"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vertAlign w:val="baseline"/>
              </w:rPr>
              <w:t>O sistema judiciário brasileiro enfrenta uma sobrecarga de processos e uma necessidade constante de organização e eficiência no trabalho dos juízes e funcionários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vertAlign w:val="baseline"/>
              </w:rPr>
              <w:t xml:space="preserve">. O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vertAlign w:val="baseline"/>
                <w:lang w:val="pt-BR"/>
              </w:rPr>
              <w:t>acumulo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vertAlign w:val="baseline"/>
              </w:rPr>
              <w:t xml:space="preserve"> de informações e a dificuldade de consulta e gestão de documentos e prazos tornam o trabalho mais demorado, dificultando a tomada de decisões ágeis e bem fundamentadas.</w:t>
            </w:r>
          </w:p>
          <w:p w14:paraId="44EAFD9C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B94D5A5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DEEC669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656B9AB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5FB0818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49F31CB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3128261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2486C05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101652C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B99056E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99C43A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DDBEF00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3461D779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</w:p>
    <w:p w14:paraId="5D16EC53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17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 w14:paraId="3EBB3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336" w:type="dxa"/>
          </w:tcPr>
          <w:p w14:paraId="270378C3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Solução</w:t>
            </w:r>
          </w:p>
        </w:tc>
      </w:tr>
      <w:tr w14:paraId="6765E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1" w:hRule="atLeast"/>
        </w:trPr>
        <w:tc>
          <w:tcPr>
            <w:tcW w:w="10336" w:type="dxa"/>
          </w:tcPr>
          <w:p w14:paraId="3CF2D8B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D3A159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Descreva a sua solução </w:t>
            </w:r>
          </w:p>
          <w:p w14:paraId="0FB78278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FC39945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vertAlign w:val="baseline"/>
              </w:rPr>
              <w:t>Nossa solução é uma Plataforma de Consulta e Gestão Documental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8"/>
                <w:szCs w:val="28"/>
                <w:bdr w:val="none" w:color="auto" w:sz="0" w:space="0"/>
                <w:vertAlign w:val="baseline"/>
              </w:rPr>
              <w:t>. Ela oferece uma interface centralizada para a organização de processos, consulta de jurisprudências e legislação, armazenamento de provas, e controle de prazos e notificações. A plataforma visa otimizar o fluxo de trabalho dos juízes e funcionários públicos, proporcionando um ambiente seguro e intuitivo para o gerenciamento de informações processuais.</w:t>
            </w:r>
          </w:p>
          <w:p w14:paraId="0562CB0E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4CE0A41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2EBF3C5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D98A12B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46DB82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997CC1D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10FFD37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699379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3FE9F23F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17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 w14:paraId="76EEB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336" w:type="dxa"/>
          </w:tcPr>
          <w:p w14:paraId="095DE63B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Como a sua solução funciona</w:t>
            </w:r>
          </w:p>
        </w:tc>
      </w:tr>
      <w:tr w14:paraId="5667A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1" w:hRule="atLeast"/>
        </w:trPr>
        <w:tc>
          <w:tcPr>
            <w:tcW w:w="10336" w:type="dxa"/>
          </w:tcPr>
          <w:p w14:paraId="1F72F64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41561C9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Descreva a sua solução </w:t>
            </w:r>
          </w:p>
          <w:p w14:paraId="08CE6F91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476A42"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Ao realizar o</w:t>
            </w:r>
            <w:bookmarkStart w:id="0" w:name="_GoBack"/>
            <w:bookmarkEnd w:id="0"/>
            <w:r>
              <w:rPr>
                <w:rFonts w:ascii="Arial" w:hAnsi="Arial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 login, o usuário é encaminhado ao dashboard centralizado, uma página inicial que fornece uma visão geral de todas as tarefas em andamento, incluindo casos ativos, prazos próximos e notificações importantes. Esse dashboard facilita a organização das prioridades diárias, permitindo que o usuário visualize rapidamente o que precisa de sua atenção imediata. Na seção de Casos, o usuário encontra uma lista de todos os casos registrados, tanto ativos quanto finalizados. Essa lista é organizada e permite filtros por data de abertura, status, prioridade, entre outros. Cada caso possui um detalhamento acessível com apenas um clique, o que direciona o usuário para uma página que exibe a descrição do caso, seu status, os documentos anexados e qualquer outra informação relevante. Isso elimina a necessidade de procurar entre arquivos físicos e facilita o acompanhamento de cada processo. Com o intuito de diminuir a burocracia e facilitar o trabalho com documentação, cada caso permite o upload e organização de documentos e provas. A plataforma também conta com um sistema de notificações e alertas automáticos. Cada vez que um prazo importante se aproxima ou uma atualização relevante é realizada em um caso, o usuário é notificado automaticamente. Essas notificações são exibidas no dashboard e em uma lista dedicada, garantindo que o usuário esteja sempre ciente dos próximos compromissos e dos eventos mais recentes, o que ajuda a evitar atrasos e manter o cumprimento dos prazos processuais. Durante o uso, o juiz ou funcionário também pode adicionar anotações e comentários personalizados em cada caso, registrando informações importantes, observações ou ideias relevantes para a análise. Essas anotações ficam salvas na plataforma e podem ser consultadas sempre que necessário, garantindo que o usuário tenha à disposição um histórico completo de todas as observações feitas durante o andamento do processo. Com esse fluxo simples e eficiente, a plataforma permite que o usuário organize seus processos e prazos de forma prática, mantenha as informações sempre acessíveis e centralize toda a documentação e as pesquisas jurídicas em um só lugar. Dessa forma, a plataforma otimiza o trabalho diário, proporciona maior segurança e facilita a organização dos casos e compromissos no dia a dia do judiciário.</w:t>
            </w:r>
          </w:p>
          <w:p w14:paraId="61CDCEAD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B9E253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3DE523C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2E56223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547A01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043CB0F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459315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537F28F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DFB9E20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70DF9E56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17"/>
        <w:tblW w:w="10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 w14:paraId="6EC61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336" w:type="dxa"/>
          </w:tcPr>
          <w:p w14:paraId="71BE9BAC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Qual o diferencial da sua solução</w:t>
            </w:r>
          </w:p>
        </w:tc>
      </w:tr>
      <w:tr w14:paraId="247AA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1" w:hRule="atLeast"/>
        </w:trPr>
        <w:tc>
          <w:tcPr>
            <w:tcW w:w="10336" w:type="dxa"/>
          </w:tcPr>
          <w:p w14:paraId="44E871BC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34430E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Descreva a sua solução </w:t>
            </w:r>
          </w:p>
          <w:p w14:paraId="144A5D23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37805D2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O diferencial da plataforma está na integração de funcionalidades que otimizam e centralizam as principais atividades de juízes e funcionários do judiciário, tudo de forma prática e intuitiva. A partir de um único acesso, ela possibilita: Dashboard Centralizado e Intuitivo, Gestão de Casos e Documentos, Ferramenta de Consulta Jurídica Integrada, Sistema de Notificações Automáticas, Anotações Personalizadas.</w:t>
            </w:r>
          </w:p>
          <w:p w14:paraId="463F29E8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B7B4B8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A0FF5F2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30AD6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1829076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BA226A1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7AD93B2">
            <w:pPr>
              <w:pStyle w:val="13"/>
              <w:tabs>
                <w:tab w:val="clear" w:pos="441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0DE4B5B7">
      <w:pPr>
        <w:pStyle w:val="13"/>
        <w:tabs>
          <w:tab w:val="clear" w:pos="4419"/>
        </w:tabs>
        <w:jc w:val="center"/>
        <w:rPr>
          <w:rFonts w:ascii="Arial" w:hAnsi="Arial" w:cs="Arial"/>
          <w:b/>
          <w:sz w:val="28"/>
          <w:szCs w:val="28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720" w:right="720" w:bottom="720" w:left="720" w:header="1701" w:footer="720" w:gutter="0"/>
      <w:cols w:space="425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5628D25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7F20C95B">
          <w:pPr>
            <w:pStyle w:val="13"/>
            <w:bidi w:val="0"/>
            <w:ind w:left="-115"/>
            <w:jc w:val="left"/>
          </w:pPr>
        </w:p>
      </w:tc>
      <w:tc>
        <w:tcPr>
          <w:tcW w:w="3485" w:type="dxa"/>
        </w:tcPr>
        <w:p w14:paraId="1B4D436C">
          <w:pPr>
            <w:pStyle w:val="13"/>
            <w:bidi w:val="0"/>
            <w:jc w:val="center"/>
          </w:pPr>
        </w:p>
      </w:tc>
      <w:tc>
        <w:tcPr>
          <w:tcW w:w="3485" w:type="dxa"/>
        </w:tcPr>
        <w:p w14:paraId="43B40E73">
          <w:pPr>
            <w:pStyle w:val="13"/>
            <w:bidi w:val="0"/>
            <w:ind w:right="-115"/>
            <w:jc w:val="right"/>
          </w:pPr>
        </w:p>
      </w:tc>
    </w:tr>
  </w:tbl>
  <w:p w14:paraId="404AFA9D">
    <w:pPr>
      <w:pStyle w:val="14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678EDD4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421AF185">
          <w:pPr>
            <w:pStyle w:val="13"/>
            <w:bidi w:val="0"/>
            <w:ind w:left="-115"/>
            <w:jc w:val="left"/>
          </w:pPr>
        </w:p>
      </w:tc>
      <w:tc>
        <w:tcPr>
          <w:tcW w:w="3485" w:type="dxa"/>
        </w:tcPr>
        <w:p w14:paraId="335B205E">
          <w:pPr>
            <w:pStyle w:val="13"/>
            <w:bidi w:val="0"/>
            <w:jc w:val="center"/>
          </w:pPr>
        </w:p>
      </w:tc>
      <w:tc>
        <w:tcPr>
          <w:tcW w:w="3485" w:type="dxa"/>
        </w:tcPr>
        <w:p w14:paraId="512E74F6">
          <w:pPr>
            <w:pStyle w:val="13"/>
            <w:bidi w:val="0"/>
            <w:ind w:right="-115"/>
            <w:jc w:val="right"/>
          </w:pPr>
        </w:p>
      </w:tc>
    </w:tr>
  </w:tbl>
  <w:p w14:paraId="770AFC30">
    <w:pPr>
      <w:pStyle w:val="14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3C6CBB1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11CF911C">
          <w:pPr>
            <w:pStyle w:val="13"/>
            <w:bidi w:val="0"/>
            <w:ind w:left="-115"/>
            <w:jc w:val="left"/>
          </w:pPr>
        </w:p>
      </w:tc>
      <w:tc>
        <w:tcPr>
          <w:tcW w:w="3485" w:type="dxa"/>
        </w:tcPr>
        <w:p w14:paraId="4DCC1F7E">
          <w:pPr>
            <w:pStyle w:val="13"/>
            <w:bidi w:val="0"/>
            <w:jc w:val="center"/>
          </w:pPr>
        </w:p>
      </w:tc>
      <w:tc>
        <w:tcPr>
          <w:tcW w:w="3485" w:type="dxa"/>
        </w:tcPr>
        <w:p w14:paraId="4D7A6102">
          <w:pPr>
            <w:pStyle w:val="13"/>
            <w:bidi w:val="0"/>
            <w:ind w:right="-115"/>
            <w:jc w:val="right"/>
          </w:pPr>
        </w:p>
      </w:tc>
    </w:tr>
  </w:tbl>
  <w:p w14:paraId="0957F22D">
    <w:pPr>
      <w:pStyle w:val="13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FD4C3">
    <w:pPr>
      <w:pStyle w:val="13"/>
      <w:jc w:val="center"/>
      <w:rPr>
        <w:rFonts w:hint="default" w:ascii="Arial" w:hAnsi="Arial" w:cs="Arial"/>
        <w:sz w:val="24"/>
        <w:szCs w:val="24"/>
        <w:lang w:val="pt-BR"/>
      </w:rPr>
    </w:pPr>
    <w:r>
      <w:rPr>
        <w:rFonts w:ascii="Arial" w:hAnsi="Arial" w:cs="Arial"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-629285</wp:posOffset>
          </wp:positionV>
          <wp:extent cx="2362835" cy="498475"/>
          <wp:effectExtent l="0" t="0" r="0" b="0"/>
          <wp:wrapTight wrapText="bothSides">
            <wp:wrapPolygon>
              <wp:start x="0" y="0"/>
              <wp:lineTo x="0" y="20637"/>
              <wp:lineTo x="21420" y="20637"/>
              <wp:lineTo x="21420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835" cy="49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24"/>
        <w:szCs w:val="24"/>
      </w:rPr>
      <w:t xml:space="preserve">Curso de </w:t>
    </w:r>
    <w:r>
      <w:rPr>
        <w:rFonts w:hint="default" w:ascii="Arial" w:hAnsi="Arial" w:cs="Arial"/>
        <w:sz w:val="24"/>
        <w:szCs w:val="24"/>
        <w:lang w:val="pt-BR"/>
      </w:rPr>
      <w:t xml:space="preserve">Analise e Desenvolvimento de Sistemas </w:t>
    </w:r>
  </w:p>
  <w:p w14:paraId="15882C37">
    <w:pPr>
      <w:pStyle w:val="13"/>
      <w:jc w:val="center"/>
    </w:pPr>
    <w:r>
      <w:rPr>
        <w:rFonts w:ascii="Arial" w:hAnsi="Arial" w:cs="Arial"/>
        <w:sz w:val="24"/>
        <w:szCs w:val="24"/>
      </w:rPr>
      <w:t xml:space="preserve">Atividade para composição da 2VA da disciplina de </w:t>
    </w:r>
    <w:r>
      <w:rPr>
        <w:rFonts w:hint="default" w:ascii="Arial" w:hAnsi="Arial" w:cs="Arial"/>
        <w:sz w:val="24"/>
        <w:szCs w:val="24"/>
        <w:lang w:val="pt-BR"/>
      </w:rPr>
      <w:t>Tópicos Integradores</w:t>
    </w:r>
    <w:r>
      <w:rPr>
        <w:rFonts w:ascii="Arial" w:hAnsi="Arial" w:cs="Arial"/>
        <w:sz w:val="24"/>
        <w:szCs w:val="24"/>
      </w:rPr>
      <w:t xml:space="preserve"> – Prof. André Caetano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3F"/>
    <w:rsid w:val="000128C1"/>
    <w:rsid w:val="00026721"/>
    <w:rsid w:val="0003010B"/>
    <w:rsid w:val="000418E9"/>
    <w:rsid w:val="000551EC"/>
    <w:rsid w:val="000B1343"/>
    <w:rsid w:val="000C27EB"/>
    <w:rsid w:val="000D106E"/>
    <w:rsid w:val="000F1ACB"/>
    <w:rsid w:val="000F7E02"/>
    <w:rsid w:val="00106594"/>
    <w:rsid w:val="001124D2"/>
    <w:rsid w:val="00113785"/>
    <w:rsid w:val="00123C5F"/>
    <w:rsid w:val="00136B98"/>
    <w:rsid w:val="001908FD"/>
    <w:rsid w:val="001A1656"/>
    <w:rsid w:val="001B764B"/>
    <w:rsid w:val="001C68C5"/>
    <w:rsid w:val="001F193B"/>
    <w:rsid w:val="001F2FCE"/>
    <w:rsid w:val="00206341"/>
    <w:rsid w:val="0021213F"/>
    <w:rsid w:val="00222CCF"/>
    <w:rsid w:val="00252649"/>
    <w:rsid w:val="00255CA5"/>
    <w:rsid w:val="00260106"/>
    <w:rsid w:val="00297065"/>
    <w:rsid w:val="002B46E2"/>
    <w:rsid w:val="002E4762"/>
    <w:rsid w:val="002F7847"/>
    <w:rsid w:val="00301A73"/>
    <w:rsid w:val="0030413B"/>
    <w:rsid w:val="0033104C"/>
    <w:rsid w:val="00332883"/>
    <w:rsid w:val="0034603A"/>
    <w:rsid w:val="00374502"/>
    <w:rsid w:val="003E746E"/>
    <w:rsid w:val="00432D0D"/>
    <w:rsid w:val="00435CC7"/>
    <w:rsid w:val="00445538"/>
    <w:rsid w:val="004816EE"/>
    <w:rsid w:val="004A7C4D"/>
    <w:rsid w:val="004D2D3E"/>
    <w:rsid w:val="004F0A4F"/>
    <w:rsid w:val="00521F55"/>
    <w:rsid w:val="005642B8"/>
    <w:rsid w:val="00574410"/>
    <w:rsid w:val="00576E7F"/>
    <w:rsid w:val="00593579"/>
    <w:rsid w:val="005B4208"/>
    <w:rsid w:val="005E0F54"/>
    <w:rsid w:val="00601C34"/>
    <w:rsid w:val="00654A15"/>
    <w:rsid w:val="00680970"/>
    <w:rsid w:val="00685045"/>
    <w:rsid w:val="006A3C72"/>
    <w:rsid w:val="006A57EE"/>
    <w:rsid w:val="006B0C3A"/>
    <w:rsid w:val="006B0DDC"/>
    <w:rsid w:val="006B1A81"/>
    <w:rsid w:val="006B6420"/>
    <w:rsid w:val="007147E6"/>
    <w:rsid w:val="00716E6E"/>
    <w:rsid w:val="00723709"/>
    <w:rsid w:val="007327F1"/>
    <w:rsid w:val="0073579A"/>
    <w:rsid w:val="00762697"/>
    <w:rsid w:val="007652FE"/>
    <w:rsid w:val="007664B6"/>
    <w:rsid w:val="00784B6D"/>
    <w:rsid w:val="00791EC6"/>
    <w:rsid w:val="007B46BE"/>
    <w:rsid w:val="007E5AF5"/>
    <w:rsid w:val="007E6E88"/>
    <w:rsid w:val="007E7D58"/>
    <w:rsid w:val="007F02A0"/>
    <w:rsid w:val="007F49AA"/>
    <w:rsid w:val="008440FA"/>
    <w:rsid w:val="00867CBE"/>
    <w:rsid w:val="0087073B"/>
    <w:rsid w:val="008945C1"/>
    <w:rsid w:val="008A75BF"/>
    <w:rsid w:val="008B0630"/>
    <w:rsid w:val="008E021C"/>
    <w:rsid w:val="008F0C24"/>
    <w:rsid w:val="008F50FF"/>
    <w:rsid w:val="008F69C3"/>
    <w:rsid w:val="009024D1"/>
    <w:rsid w:val="0090569C"/>
    <w:rsid w:val="00906678"/>
    <w:rsid w:val="0091501D"/>
    <w:rsid w:val="00920BE4"/>
    <w:rsid w:val="00923FE8"/>
    <w:rsid w:val="00926438"/>
    <w:rsid w:val="00935CDE"/>
    <w:rsid w:val="00944A9C"/>
    <w:rsid w:val="0094574A"/>
    <w:rsid w:val="00947DCA"/>
    <w:rsid w:val="00953DC7"/>
    <w:rsid w:val="00954250"/>
    <w:rsid w:val="00964D0F"/>
    <w:rsid w:val="00995941"/>
    <w:rsid w:val="009A0CDF"/>
    <w:rsid w:val="009A5B9D"/>
    <w:rsid w:val="009B2493"/>
    <w:rsid w:val="009C7EF5"/>
    <w:rsid w:val="009E4220"/>
    <w:rsid w:val="009F12E1"/>
    <w:rsid w:val="00A46315"/>
    <w:rsid w:val="00A548C8"/>
    <w:rsid w:val="00A72266"/>
    <w:rsid w:val="00A94A0B"/>
    <w:rsid w:val="00AA5C7B"/>
    <w:rsid w:val="00AB3E0A"/>
    <w:rsid w:val="00AE1FB8"/>
    <w:rsid w:val="00AE3AD9"/>
    <w:rsid w:val="00AF0EBE"/>
    <w:rsid w:val="00B03475"/>
    <w:rsid w:val="00B075AE"/>
    <w:rsid w:val="00B22C28"/>
    <w:rsid w:val="00B236DC"/>
    <w:rsid w:val="00B415E4"/>
    <w:rsid w:val="00B570C4"/>
    <w:rsid w:val="00BB1328"/>
    <w:rsid w:val="00BD6880"/>
    <w:rsid w:val="00BE3120"/>
    <w:rsid w:val="00BF746D"/>
    <w:rsid w:val="00BF7584"/>
    <w:rsid w:val="00C455CF"/>
    <w:rsid w:val="00CC1FB7"/>
    <w:rsid w:val="00CD003D"/>
    <w:rsid w:val="00CF4D56"/>
    <w:rsid w:val="00D16638"/>
    <w:rsid w:val="00D2098F"/>
    <w:rsid w:val="00D20CED"/>
    <w:rsid w:val="00D213BF"/>
    <w:rsid w:val="00D35772"/>
    <w:rsid w:val="00D402E5"/>
    <w:rsid w:val="00D40D55"/>
    <w:rsid w:val="00D436AE"/>
    <w:rsid w:val="00D74F1F"/>
    <w:rsid w:val="00D9750E"/>
    <w:rsid w:val="00DB1BF5"/>
    <w:rsid w:val="00DC075A"/>
    <w:rsid w:val="00DC6950"/>
    <w:rsid w:val="00DF477D"/>
    <w:rsid w:val="00E02D71"/>
    <w:rsid w:val="00EA649D"/>
    <w:rsid w:val="00EC0412"/>
    <w:rsid w:val="00EC4760"/>
    <w:rsid w:val="00ED1F52"/>
    <w:rsid w:val="00ED4803"/>
    <w:rsid w:val="00EF1B12"/>
    <w:rsid w:val="00F326E8"/>
    <w:rsid w:val="00F67585"/>
    <w:rsid w:val="00F85582"/>
    <w:rsid w:val="00FC3CA1"/>
    <w:rsid w:val="00FE6162"/>
    <w:rsid w:val="087513AA"/>
    <w:rsid w:val="4A30A56C"/>
    <w:rsid w:val="4E696311"/>
    <w:rsid w:val="7065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outlineLvl w:val="0"/>
    </w:pPr>
    <w:rPr>
      <w:rFonts w:ascii="Arial" w:hAnsi="Arial" w:cs="Arial"/>
      <w:b/>
      <w:color w:val="000000"/>
      <w:sz w:val="24"/>
      <w:lang w:val="pt-PT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semiHidden/>
    <w:uiPriority w:val="0"/>
    <w:rPr>
      <w:sz w:val="16"/>
      <w:szCs w:val="16"/>
    </w:rPr>
  </w:style>
  <w:style w:type="character" w:styleId="6">
    <w:name w:val="footnote reference"/>
    <w:semiHidden/>
    <w:uiPriority w:val="0"/>
    <w:rPr>
      <w:vertAlign w:val="superscript"/>
    </w:r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page number"/>
    <w:basedOn w:val="3"/>
    <w:uiPriority w:val="0"/>
  </w:style>
  <w:style w:type="paragraph" w:styleId="9">
    <w:name w:val="Body Text"/>
    <w:basedOn w:val="1"/>
    <w:link w:val="18"/>
    <w:uiPriority w:val="0"/>
    <w:pPr>
      <w:widowControl w:val="0"/>
      <w:suppressAutoHyphens/>
    </w:pPr>
    <w:rPr>
      <w:sz w:val="24"/>
      <w:szCs w:val="24"/>
      <w:lang w:val="en-US"/>
    </w:rPr>
  </w:style>
  <w:style w:type="paragraph" w:styleId="10">
    <w:name w:val="annotation text"/>
    <w:basedOn w:val="1"/>
    <w:semiHidden/>
    <w:uiPriority w:val="0"/>
  </w:style>
  <w:style w:type="paragraph" w:styleId="11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color w:val="000000"/>
      <w:sz w:val="24"/>
      <w:lang w:val="pt-PT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3">
    <w:name w:val="header"/>
    <w:basedOn w:val="1"/>
    <w:uiPriority w:val="0"/>
    <w:pPr>
      <w:tabs>
        <w:tab w:val="center" w:pos="4419"/>
        <w:tab w:val="right" w:pos="8838"/>
      </w:tabs>
    </w:pPr>
  </w:style>
  <w:style w:type="paragraph" w:styleId="14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6">
    <w:name w:val="footnote text"/>
    <w:basedOn w:val="1"/>
    <w:semiHidden/>
    <w:uiPriority w:val="0"/>
  </w:style>
  <w:style w:type="table" w:styleId="17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rpo de texto Char"/>
    <w:link w:val="9"/>
    <w:uiPriority w:val="0"/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EE9831372E74582CC0DADA5879FDF" ma:contentTypeVersion="4" ma:contentTypeDescription="Create a new document." ma:contentTypeScope="" ma:versionID="5512b249413c194a82294d891157f0d1">
  <xsd:schema xmlns:xsd="http://www.w3.org/2001/XMLSchema" xmlns:xs="http://www.w3.org/2001/XMLSchema" xmlns:p="http://schemas.microsoft.com/office/2006/metadata/properties" xmlns:ns2="97aa93cc-e817-4fe1-9934-73a3ce771042" targetNamespace="http://schemas.microsoft.com/office/2006/metadata/properties" ma:root="true" ma:fieldsID="ba00b0d64e83cb18d3e8e586d4adaf7e" ns2:_="">
    <xsd:import namespace="97aa93cc-e817-4fe1-9934-73a3ce771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a93cc-e817-4fe1-9934-73a3ce771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75259-D85D-4172-A95D-5E42686FF5C7}">
  <ds:schemaRefs/>
</ds:datastoreItem>
</file>

<file path=customXml/itemProps2.xml><?xml version="1.0" encoding="utf-8"?>
<ds:datastoreItem xmlns:ds="http://schemas.openxmlformats.org/officeDocument/2006/customXml" ds:itemID="{B095D32A-9D5A-496E-B997-AD86B9D93A53}">
  <ds:schemaRefs/>
</ds:datastoreItem>
</file>

<file path=customXml/itemProps3.xml><?xml version="1.0" encoding="utf-8"?>
<ds:datastoreItem xmlns:ds="http://schemas.openxmlformats.org/officeDocument/2006/customXml" ds:itemID="{5D09A40F-0A56-41BD-85F4-0DF34FAE1F30}">
  <ds:schemaRefs/>
</ds:datastoreItem>
</file>

<file path=customXml/itemProps4.xml><?xml version="1.0" encoding="utf-8"?>
<ds:datastoreItem xmlns:ds="http://schemas.openxmlformats.org/officeDocument/2006/customXml" ds:itemID="{BC8C55F7-56F0-4539-924D-A824F3D128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FMTM/FUNEPU/IDT</Company>
  <Pages>3</Pages>
  <TotalTime>77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2024-06-02T12:44:00Z</dcterms:created>
  <dc:creator>DSIM</dc:creator>
  <cp:lastModifiedBy>Flávia</cp:lastModifiedBy>
  <cp:lastPrinted>2023-04-27T10:50:00Z</cp:lastPrinted>
  <dcterms:modified xsi:type="dcterms:W3CDTF">2024-11-11T22:12:11Z</dcterms:modified>
  <dc:title>PLANO DE ENSINO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0x01010093DEE9831372E74582CC0DADA5879FDF</vt:lpwstr>
  </property>
  <property fmtid="{D5CDD505-2E9C-101B-9397-08002B2CF9AE}" pid="3" name="KSOProductBuildVer">
    <vt:lpwstr>1046-12.2.0.18607</vt:lpwstr>
  </property>
  <property fmtid="{D5CDD505-2E9C-101B-9397-08002B2CF9AE}" pid="4" name="ICV">
    <vt:lpwstr>6071A991968A4ABFAC0930B6455C9780_12</vt:lpwstr>
  </property>
</Properties>
</file>