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Relatório — Classificação de Voz com Regressão Logística</w:t>
      </w:r>
    </w:p>
    <w:p>
      <w:pPr>
        <w:jc w:val="center"/>
      </w:pPr>
      <w:r>
        <w:t>Gerado automaticamente em 30/10/2025 20:59</w:t>
      </w:r>
    </w:p>
    <w:p/>
    <w:p>
      <w:pPr>
        <w:pStyle w:val="Heading1"/>
      </w:pPr>
      <w:r>
        <w:t>1) Resumo executivo</w:t>
      </w:r>
    </w:p>
    <w:p>
      <w:pPr>
        <w:pStyle w:val="ListBullet"/>
      </w:pPr>
      <w:r>
        <w:t>Base voice.csv por URL: 3168 amostras × 21 colunas (20 numéricas + rótulo).</w:t>
      </w:r>
    </w:p>
    <w:p>
      <w:pPr>
        <w:pStyle w:val="ListBullet"/>
      </w:pPr>
      <w:r>
        <w:t>Classes balanceadas (0=male, 1=female): 50% / 50%.</w:t>
      </w:r>
    </w:p>
    <w:p>
      <w:pPr>
        <w:pStyle w:val="ListBullet"/>
      </w:pPr>
      <w:r>
        <w:t>Split estratificado: treino (2534×20) e teste (634×20); padronização aplicada.</w:t>
      </w:r>
    </w:p>
    <w:p>
      <w:pPr>
        <w:pStyle w:val="ListBullet"/>
      </w:pPr>
      <w:r>
        <w:t>GridSearchCV → melhor modelo L2, C=10.0, solver=liblinear, max_iter=1000 (acurácia média CV=0.9767).</w:t>
      </w:r>
    </w:p>
    <w:p>
      <w:pPr>
        <w:pStyle w:val="ListBullet"/>
      </w:pPr>
      <w:r>
        <w:t>Teste (logístico padrão): Acc=0.9621, Prec=0.9651, Rec=0.9590, F1=0.9620; calibração superior ao RMSE (Brier 0.0287 vs 0.0407).</w:t>
      </w:r>
    </w:p>
    <w:p>
      <w:pPr>
        <w:pStyle w:val="Heading1"/>
      </w:pPr>
      <w:r>
        <w:t>2) Por que essa abordagem funcionou</w:t>
      </w:r>
    </w:p>
    <w:p>
      <w:r>
        <w:t>• Padronização: as escalas variam muito (ex.: kurt std≈134.93 vs Q75 std≈0.0236). Sem padronizar, o solver pesaria variáveis maiores.</w:t>
      </w:r>
    </w:p>
    <w:p>
      <w:r>
        <w:t>• Regularização: há multicolinearidade relevante (meanfreq×centroid r=1.000; skew×kurt r=0.977; median×meanfreq r=0.925; Q25×meanfreq r=0.911). L2 estabiliza coeficientes; L1 poderia selecionar, mas com C=100 não zerou.</w:t>
      </w:r>
    </w:p>
    <w:p>
      <w:r>
        <w:t>• Validação cruzada: escolheu hiperparâmetros com boa generalização (desvios baixos; train≈test).</w:t>
      </w:r>
    </w:p>
    <w:p>
      <w:pPr>
        <w:pStyle w:val="Heading1"/>
      </w:pPr>
      <w:r>
        <w:t>3) Parte A.1 — Exploração dos dados (EDA)</w:t>
      </w:r>
    </w:p>
    <w:p>
      <w:pPr>
        <w:pStyle w:val="Heading2"/>
      </w:pPr>
      <w:r>
        <w:t>3.1 Balanceamento das classes</w:t>
      </w:r>
    </w:p>
    <w:p>
      <w:r>
        <w:t>Conjunto perfeitamente balanceado (50/50). Isso evita viés trivial de acurácia e permite comparar Precisão/Recall/F1 sem distorção.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2091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orç╞o das Classes (alvo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209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A1 — Proporção das classes (0=male, 1=female).</w:t>
      </w:r>
    </w:p>
    <w:p>
      <w:pPr>
        <w:pStyle w:val="Heading2"/>
      </w:pPr>
      <w:r>
        <w:t>3.2 Distribuições por variável</w:t>
      </w:r>
    </w:p>
    <w:p>
      <w:r>
        <w:t>As distribuições por classe mostram separações claras em variáveis ligadas a frequência/energia. Esse padrão antecipa maiores |coef| nessas features no modelo logístico.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2937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2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293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1)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1894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centroi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894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2)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18941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dfr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894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29377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iq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293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4)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06931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ku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069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5)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1320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maxdo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32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6)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29377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maxfu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293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7)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25591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meando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255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8)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18941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meanfreq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894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9)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29377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meanfu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293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10)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29377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media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293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11)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29377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mindom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293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12)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29377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minfu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293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13)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35577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mod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355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14)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35577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modindx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355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15)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182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sd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82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16)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25591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sfm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255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17)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35577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 sp.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355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18)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29377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iç╞o de7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293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A2 — Histogramas/densidades por feature separados por classe. (parte 19)</w:t>
      </w:r>
    </w:p>
    <w:p>
      <w:pPr>
        <w:pStyle w:val="Heading2"/>
      </w:pPr>
      <w:r>
        <w:t>3.3 Correlações (multicolinearidade)</w:t>
      </w:r>
    </w:p>
    <w:p>
      <w:r>
        <w:t>Pares com |r|&gt;0.9 detectados: meanfreq×centroid (1.000), skew×kurt (0.977), median×meanfreq (0.925), Q25×meanfreq (0.911), e pares equivalentes envolvendo centroid. Mantivemos todas as variáveis e deixamos a regularização resolver a redundância.</w:t>
      </w:r>
    </w:p>
    <w:p>
      <w:pPr>
        <w:pStyle w:val="Heading1"/>
      </w:pPr>
      <w:r>
        <w:t>4) Parte A.2 — Seleção de hiperparâmetros (GridSearchCV)</w:t>
      </w:r>
    </w:p>
    <w:p>
      <w:r>
        <w:t>Melhor combinação: penalty='l2', C=10.0, solver='liblinear', max_iter=1000; acurácia média CV=0.9767.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penalty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mean_test_score</w:t>
            </w:r>
          </w:p>
        </w:tc>
        <w:tc>
          <w:tcPr>
            <w:tcW w:type="dxa" w:w="1728"/>
          </w:tcPr>
          <w:p>
            <w:r>
              <w:t>std_test_score</w:t>
            </w:r>
          </w:p>
        </w:tc>
        <w:tc>
          <w:tcPr>
            <w:tcW w:type="dxa" w:w="1728"/>
          </w:tcPr>
          <w:p>
            <w:r>
              <w:t>mean_train_score</w:t>
            </w:r>
          </w:p>
        </w:tc>
      </w:tr>
      <w:tr>
        <w:tc>
          <w:tcPr>
            <w:tcW w:type="dxa" w:w="1728"/>
          </w:tcPr>
          <w:p>
            <w:r>
              <w:t>l2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0.976712</w:t>
            </w:r>
          </w:p>
        </w:tc>
        <w:tc>
          <w:tcPr>
            <w:tcW w:type="dxa" w:w="1728"/>
          </w:tcPr>
          <w:p>
            <w:r>
              <w:t>0.008518</w:t>
            </w:r>
          </w:p>
        </w:tc>
        <w:tc>
          <w:tcPr>
            <w:tcW w:type="dxa" w:w="1728"/>
          </w:tcPr>
          <w:p>
            <w:r>
              <w:t>0.977703</w:t>
            </w:r>
          </w:p>
        </w:tc>
      </w:tr>
      <w:tr>
        <w:tc>
          <w:tcPr>
            <w:tcW w:type="dxa" w:w="1728"/>
          </w:tcPr>
          <w:p>
            <w:r>
              <w:t>l1</w:t>
            </w:r>
          </w:p>
        </w:tc>
        <w:tc>
          <w:tcPr>
            <w:tcW w:type="dxa" w:w="1728"/>
          </w:tcPr>
          <w:p>
            <w:r>
              <w:t>100.00</w:t>
            </w:r>
          </w:p>
        </w:tc>
        <w:tc>
          <w:tcPr>
            <w:tcW w:type="dxa" w:w="1728"/>
          </w:tcPr>
          <w:p>
            <w:r>
              <w:t>0.976317</w:t>
            </w:r>
          </w:p>
        </w:tc>
        <w:tc>
          <w:tcPr>
            <w:tcW w:type="dxa" w:w="1728"/>
          </w:tcPr>
          <w:p>
            <w:r>
              <w:t>0.008200</w:t>
            </w:r>
          </w:p>
        </w:tc>
        <w:tc>
          <w:tcPr>
            <w:tcW w:type="dxa" w:w="1728"/>
          </w:tcPr>
          <w:p>
            <w:r>
              <w:t>0.977604</w:t>
            </w:r>
          </w:p>
        </w:tc>
      </w:tr>
      <w:tr>
        <w:tc>
          <w:tcPr>
            <w:tcW w:type="dxa" w:w="1728"/>
          </w:tcPr>
          <w:p>
            <w:r>
              <w:t>l2</w:t>
            </w:r>
          </w:p>
        </w:tc>
        <w:tc>
          <w:tcPr>
            <w:tcW w:type="dxa" w:w="1728"/>
          </w:tcPr>
          <w:p>
            <w:r>
              <w:t>100.00</w:t>
            </w:r>
          </w:p>
        </w:tc>
        <w:tc>
          <w:tcPr>
            <w:tcW w:type="dxa" w:w="1728"/>
          </w:tcPr>
          <w:p>
            <w:r>
              <w:t>0.976317</w:t>
            </w:r>
          </w:p>
        </w:tc>
        <w:tc>
          <w:tcPr>
            <w:tcW w:type="dxa" w:w="1728"/>
          </w:tcPr>
          <w:p>
            <w:r>
              <w:t>0.008200</w:t>
            </w:r>
          </w:p>
        </w:tc>
        <w:tc>
          <w:tcPr>
            <w:tcW w:type="dxa" w:w="1728"/>
          </w:tcPr>
          <w:p>
            <w:r>
              <w:t>0.977604</w:t>
            </w:r>
          </w:p>
        </w:tc>
      </w:tr>
      <w:tr>
        <w:tc>
          <w:tcPr>
            <w:tcW w:type="dxa" w:w="1728"/>
          </w:tcPr>
          <w:p>
            <w:r>
              <w:t>l1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0.975923</w:t>
            </w:r>
          </w:p>
        </w:tc>
        <w:tc>
          <w:tcPr>
            <w:tcW w:type="dxa" w:w="1728"/>
          </w:tcPr>
          <w:p>
            <w:r>
              <w:t>0.007650</w:t>
            </w:r>
          </w:p>
        </w:tc>
        <w:tc>
          <w:tcPr>
            <w:tcW w:type="dxa" w:w="1728"/>
          </w:tcPr>
          <w:p>
            <w:r>
              <w:t>0.977604</w:t>
            </w:r>
          </w:p>
        </w:tc>
      </w:tr>
      <w:tr>
        <w:tc>
          <w:tcPr>
            <w:tcW w:type="dxa" w:w="1728"/>
          </w:tcPr>
          <w:p>
            <w:r>
              <w:t>l1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0.975528</w:t>
            </w:r>
          </w:p>
        </w:tc>
        <w:tc>
          <w:tcPr>
            <w:tcW w:type="dxa" w:w="1728"/>
          </w:tcPr>
          <w:p>
            <w:r>
              <w:t>0.008166</w:t>
            </w:r>
          </w:p>
        </w:tc>
        <w:tc>
          <w:tcPr>
            <w:tcW w:type="dxa" w:w="1728"/>
          </w:tcPr>
          <w:p>
            <w:r>
              <w:t>0.977703</w:t>
            </w:r>
          </w:p>
        </w:tc>
      </w:tr>
      <w:tr>
        <w:tc>
          <w:tcPr>
            <w:tcW w:type="dxa" w:w="1728"/>
          </w:tcPr>
          <w:p>
            <w:r>
              <w:t>l2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0.975133</w:t>
            </w:r>
          </w:p>
        </w:tc>
        <w:tc>
          <w:tcPr>
            <w:tcW w:type="dxa" w:w="1728"/>
          </w:tcPr>
          <w:p>
            <w:r>
              <w:t>0.007774</w:t>
            </w:r>
          </w:p>
        </w:tc>
        <w:tc>
          <w:tcPr>
            <w:tcW w:type="dxa" w:w="1728"/>
          </w:tcPr>
          <w:p>
            <w:r>
              <w:t>0.976815</w:t>
            </w:r>
          </w:p>
        </w:tc>
      </w:tr>
      <w:tr>
        <w:tc>
          <w:tcPr>
            <w:tcW w:type="dxa" w:w="1728"/>
          </w:tcPr>
          <w:p>
            <w:r>
              <w:t>l1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  <w:tc>
          <w:tcPr>
            <w:tcW w:type="dxa" w:w="1728"/>
          </w:tcPr>
          <w:p>
            <w:r>
              <w:t>0.973161</w:t>
            </w:r>
          </w:p>
        </w:tc>
        <w:tc>
          <w:tcPr>
            <w:tcW w:type="dxa" w:w="1728"/>
          </w:tcPr>
          <w:p>
            <w:r>
              <w:t>0.006810</w:t>
            </w:r>
          </w:p>
        </w:tc>
        <w:tc>
          <w:tcPr>
            <w:tcW w:type="dxa" w:w="1728"/>
          </w:tcPr>
          <w:p>
            <w:r>
              <w:t>0.974743</w:t>
            </w:r>
          </w:p>
        </w:tc>
      </w:tr>
      <w:tr>
        <w:tc>
          <w:tcPr>
            <w:tcW w:type="dxa" w:w="1728"/>
          </w:tcPr>
          <w:p>
            <w:r>
              <w:t>l2</w:t>
            </w:r>
          </w:p>
        </w:tc>
        <w:tc>
          <w:tcPr>
            <w:tcW w:type="dxa" w:w="1728"/>
          </w:tcPr>
          <w:p>
            <w:r>
              <w:t>0.10</w:t>
            </w:r>
          </w:p>
        </w:tc>
        <w:tc>
          <w:tcPr>
            <w:tcW w:type="dxa" w:w="1728"/>
          </w:tcPr>
          <w:p>
            <w:r>
              <w:t>0.971975</w:t>
            </w:r>
          </w:p>
        </w:tc>
        <w:tc>
          <w:tcPr>
            <w:tcW w:type="dxa" w:w="1728"/>
          </w:tcPr>
          <w:p>
            <w:r>
              <w:t>0.009059</w:t>
            </w:r>
          </w:p>
        </w:tc>
        <w:tc>
          <w:tcPr>
            <w:tcW w:type="dxa" w:w="1728"/>
          </w:tcPr>
          <w:p>
            <w:r>
              <w:t>0.973954</w:t>
            </w:r>
          </w:p>
        </w:tc>
      </w:tr>
      <w:tr>
        <w:tc>
          <w:tcPr>
            <w:tcW w:type="dxa" w:w="1728"/>
          </w:tcPr>
          <w:p>
            <w:r>
              <w:t>l1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0.964872</w:t>
            </w:r>
          </w:p>
        </w:tc>
        <w:tc>
          <w:tcPr>
            <w:tcW w:type="dxa" w:w="1728"/>
          </w:tcPr>
          <w:p>
            <w:r>
              <w:t>0.010268</w:t>
            </w:r>
          </w:p>
        </w:tc>
        <w:tc>
          <w:tcPr>
            <w:tcW w:type="dxa" w:w="1728"/>
          </w:tcPr>
          <w:p>
            <w:r>
              <w:t>0.964877</w:t>
            </w:r>
          </w:p>
        </w:tc>
      </w:tr>
      <w:tr>
        <w:tc>
          <w:tcPr>
            <w:tcW w:type="dxa" w:w="1728"/>
          </w:tcPr>
          <w:p>
            <w:r>
              <w:t>l2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0.963686</w:t>
            </w:r>
          </w:p>
        </w:tc>
        <w:tc>
          <w:tcPr>
            <w:tcW w:type="dxa" w:w="1728"/>
          </w:tcPr>
          <w:p>
            <w:r>
              <w:t>0.010956</w:t>
            </w:r>
          </w:p>
        </w:tc>
        <w:tc>
          <w:tcPr>
            <w:tcW w:type="dxa" w:w="1728"/>
          </w:tcPr>
          <w:p>
            <w:r>
              <w:t>0.964877</w:t>
            </w:r>
          </w:p>
        </w:tc>
      </w:tr>
    </w:tbl>
    <w:p>
      <w:pPr>
        <w:pStyle w:val="Heading1"/>
      </w:pPr>
      <w:r>
        <w:t>5) Parte A.3 — Modelo final e avaliação no teste</w:t>
      </w:r>
    </w:p>
    <w:p>
      <w:r>
        <w:t>Métricas no conjunto de teste: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Acurácia</w:t>
            </w:r>
          </w:p>
        </w:tc>
        <w:tc>
          <w:tcPr>
            <w:tcW w:type="dxa" w:w="4320"/>
          </w:tcPr>
          <w:p>
            <w:r>
              <w:t>0.9621</w:t>
            </w:r>
          </w:p>
        </w:tc>
      </w:tr>
      <w:tr>
        <w:tc>
          <w:tcPr>
            <w:tcW w:type="dxa" w:w="4320"/>
          </w:tcPr>
          <w:p>
            <w:r>
              <w:t>Precisão</w:t>
            </w:r>
          </w:p>
        </w:tc>
        <w:tc>
          <w:tcPr>
            <w:tcW w:type="dxa" w:w="4320"/>
          </w:tcPr>
          <w:p>
            <w:r>
              <w:t>0.9651</w:t>
            </w:r>
          </w:p>
        </w:tc>
      </w:tr>
      <w:tr>
        <w:tc>
          <w:tcPr>
            <w:tcW w:type="dxa" w:w="4320"/>
          </w:tcPr>
          <w:p>
            <w:r>
              <w:t>Recall</w:t>
            </w:r>
          </w:p>
        </w:tc>
        <w:tc>
          <w:tcPr>
            <w:tcW w:type="dxa" w:w="4320"/>
          </w:tcPr>
          <w:p>
            <w:r>
              <w:t>0.9590</w:t>
            </w:r>
          </w:p>
        </w:tc>
      </w:tr>
      <w:tr>
        <w:tc>
          <w:tcPr>
            <w:tcW w:type="dxa" w:w="4320"/>
          </w:tcPr>
          <w:p>
            <w:r>
              <w:t>F1-score</w:t>
            </w:r>
          </w:p>
        </w:tc>
        <w:tc>
          <w:tcPr>
            <w:tcW w:type="dxa" w:w="4320"/>
          </w:tcPr>
          <w:p>
            <w:r>
              <w:t>0.9620</w:t>
            </w:r>
          </w:p>
        </w:tc>
      </w:tr>
    </w:tbl>
    <w:p>
      <w:r>
        <w:t>Interpretação: Precisão e Recall muito próximos indicam um classificador equilibrado — coerente com o balanceamento 50/50 das classes.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5145206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riz de Confus╞o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1452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A5 — Matriz de confusão (heatmap). (parte 1)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594826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riz de Correlaç╞o (features)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594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A5 — Matriz de confusão (heatmap). (parte 2)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255911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rva ROC (modelo logístico padr╞o)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255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A6 — Curva ROC e AUC. (parte 1)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255911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rva ROC (modelo treinado com RMSE)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255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A6 — Curva ROC e AUC. (parte 2)</w:t>
      </w:r>
    </w:p>
    <w:p>
      <w:pPr>
        <w:pStyle w:val="Heading1"/>
      </w:pPr>
      <w:r>
        <w:t>6) Parte A.4 — Coeficientes (L1 × L2) e interpretação</w:t>
      </w:r>
    </w:p>
    <w:p>
      <w:r>
        <w:t>Comparação direta dos coeficientes mais relevantes sob L1 e L2 (usando seus resultados):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coef_L1</w:t>
            </w:r>
          </w:p>
        </w:tc>
        <w:tc>
          <w:tcPr>
            <w:tcW w:type="dxa" w:w="2880"/>
          </w:tcPr>
          <w:p>
            <w:r>
              <w:t>coef_L2</w:t>
            </w:r>
          </w:p>
        </w:tc>
      </w:tr>
      <w:tr>
        <w:tc>
          <w:tcPr>
            <w:tcW w:type="dxa" w:w="2880"/>
          </w:tcPr>
          <w:p>
            <w:r>
              <w:t>meanfun</w:t>
            </w:r>
          </w:p>
        </w:tc>
        <w:tc>
          <w:tcPr>
            <w:tcW w:type="dxa" w:w="2880"/>
          </w:tcPr>
          <w:p>
            <w:r>
              <w:t>5.764898</w:t>
            </w:r>
          </w:p>
        </w:tc>
        <w:tc>
          <w:tcPr>
            <w:tcW w:type="dxa" w:w="2880"/>
          </w:tcPr>
          <w:p>
            <w:r>
              <w:t>5.682555</w:t>
            </w:r>
          </w:p>
        </w:tc>
      </w:tr>
      <w:tr>
        <w:tc>
          <w:tcPr>
            <w:tcW w:type="dxa" w:w="2880"/>
          </w:tcPr>
          <w:p>
            <w:r>
              <w:t>sfm</w:t>
            </w:r>
          </w:p>
        </w:tc>
        <w:tc>
          <w:tcPr>
            <w:tcW w:type="dxa" w:w="2880"/>
          </w:tcPr>
          <w:p>
            <w:r>
              <w:t>2.175116</w:t>
            </w:r>
          </w:p>
        </w:tc>
        <w:tc>
          <w:tcPr>
            <w:tcW w:type="dxa" w:w="2880"/>
          </w:tcPr>
          <w:p>
            <w:r>
              <w:t>2.073705</w:t>
            </w:r>
          </w:p>
        </w:tc>
      </w:tr>
      <w:tr>
        <w:tc>
          <w:tcPr>
            <w:tcW w:type="dxa" w:w="2880"/>
          </w:tcPr>
          <w:p>
            <w:r>
              <w:t>sp.ent</w:t>
            </w:r>
          </w:p>
        </w:tc>
        <w:tc>
          <w:tcPr>
            <w:tcW w:type="dxa" w:w="2880"/>
          </w:tcPr>
          <w:p>
            <w:r>
              <w:t>-1.941423</w:t>
            </w:r>
          </w:p>
        </w:tc>
        <w:tc>
          <w:tcPr>
            <w:tcW w:type="dxa" w:w="2880"/>
          </w:tcPr>
          <w:p>
            <w:r>
              <w:t>-1.832246</w:t>
            </w:r>
          </w:p>
        </w:tc>
      </w:tr>
      <w:tr>
        <w:tc>
          <w:tcPr>
            <w:tcW w:type="dxa" w:w="2880"/>
          </w:tcPr>
          <w:p>
            <w:r>
              <w:t>IQR</w:t>
            </w:r>
          </w:p>
        </w:tc>
        <w:tc>
          <w:tcPr>
            <w:tcW w:type="dxa" w:w="2880"/>
          </w:tcPr>
          <w:p>
            <w:r>
              <w:t>-1.938414</w:t>
            </w:r>
          </w:p>
        </w:tc>
        <w:tc>
          <w:tcPr>
            <w:tcW w:type="dxa" w:w="2880"/>
          </w:tcPr>
          <w:p>
            <w:r>
              <w:t>-1.765976</w:t>
            </w:r>
          </w:p>
        </w:tc>
      </w:tr>
      <w:tr>
        <w:tc>
          <w:tcPr>
            <w:tcW w:type="dxa" w:w="2880"/>
          </w:tcPr>
          <w:p>
            <w:r>
              <w:t>centroid</w:t>
            </w:r>
          </w:p>
        </w:tc>
        <w:tc>
          <w:tcPr>
            <w:tcW w:type="dxa" w:w="2880"/>
          </w:tcPr>
          <w:p>
            <w:r>
              <w:t>-1.610189</w:t>
            </w:r>
          </w:p>
        </w:tc>
        <w:tc>
          <w:tcPr>
            <w:tcW w:type="dxa" w:w="2880"/>
          </w:tcPr>
          <w:p>
            <w:r>
              <w:t>-1.181830</w:t>
            </w:r>
          </w:p>
        </w:tc>
      </w:tr>
      <w:tr>
        <w:tc>
          <w:tcPr>
            <w:tcW w:type="dxa" w:w="2880"/>
          </w:tcPr>
          <w:p>
            <w:r>
              <w:t>Q25</w:t>
            </w:r>
          </w:p>
        </w:tc>
        <w:tc>
          <w:tcPr>
            <w:tcW w:type="dxa" w:w="2880"/>
          </w:tcPr>
          <w:p>
            <w:r>
              <w:t>1.502476</w:t>
            </w:r>
          </w:p>
        </w:tc>
        <w:tc>
          <w:tcPr>
            <w:tcW w:type="dxa" w:w="2880"/>
          </w:tcPr>
          <w:p>
            <w:r>
              <w:t>1.589438</w:t>
            </w:r>
          </w:p>
        </w:tc>
      </w:tr>
      <w:tr>
        <w:tc>
          <w:tcPr>
            <w:tcW w:type="dxa" w:w="2880"/>
          </w:tcPr>
          <w:p>
            <w:r>
              <w:t>meanfreq</w:t>
            </w:r>
          </w:p>
        </w:tc>
        <w:tc>
          <w:tcPr>
            <w:tcW w:type="dxa" w:w="2880"/>
          </w:tcPr>
          <w:p>
            <w:r>
              <w:t>-0.974266</w:t>
            </w:r>
          </w:p>
        </w:tc>
        <w:tc>
          <w:tcPr>
            <w:tcW w:type="dxa" w:w="2880"/>
          </w:tcPr>
          <w:p>
            <w:r>
              <w:t>-1.181830</w:t>
            </w:r>
          </w:p>
        </w:tc>
      </w:tr>
      <w:tr>
        <w:tc>
          <w:tcPr>
            <w:tcW w:type="dxa" w:w="2880"/>
          </w:tcPr>
          <w:p>
            <w:r>
              <w:t>median</w:t>
            </w:r>
          </w:p>
        </w:tc>
        <w:tc>
          <w:tcPr>
            <w:tcW w:type="dxa" w:w="2880"/>
          </w:tcPr>
          <w:p>
            <w:r>
              <w:t>0.928197</w:t>
            </w:r>
          </w:p>
        </w:tc>
        <w:tc>
          <w:tcPr>
            <w:tcW w:type="dxa" w:w="2880"/>
          </w:tcPr>
          <w:p>
            <w:r>
              <w:t>0.860589</w:t>
            </w:r>
          </w:p>
        </w:tc>
      </w:tr>
      <w:tr>
        <w:tc>
          <w:tcPr>
            <w:tcW w:type="dxa" w:w="2880"/>
          </w:tcPr>
          <w:p>
            <w:r>
              <w:t>minfun</w:t>
            </w:r>
          </w:p>
        </w:tc>
        <w:tc>
          <w:tcPr>
            <w:tcW w:type="dxa" w:w="2880"/>
          </w:tcPr>
          <w:p>
            <w:r>
              <w:t>-0.712064</w:t>
            </w:r>
          </w:p>
        </w:tc>
        <w:tc>
          <w:tcPr>
            <w:tcW w:type="dxa" w:w="2880"/>
          </w:tcPr>
          <w:p>
            <w:r>
              <w:t>-0.696978</w:t>
            </w:r>
          </w:p>
        </w:tc>
      </w:tr>
      <w:tr>
        <w:tc>
          <w:tcPr>
            <w:tcW w:type="dxa" w:w="2880"/>
          </w:tcPr>
          <w:p>
            <w:r>
              <w:t>kurt</w:t>
            </w:r>
          </w:p>
        </w:tc>
        <w:tc>
          <w:tcPr>
            <w:tcW w:type="dxa" w:w="2880"/>
          </w:tcPr>
          <w:p>
            <w:r>
              <w:t>0.634656</w:t>
            </w:r>
          </w:p>
        </w:tc>
        <w:tc>
          <w:tcPr>
            <w:tcW w:type="dxa" w:w="2880"/>
          </w:tcPr>
          <w:p>
            <w:r>
              <w:t>0.581781</w:t>
            </w:r>
          </w:p>
        </w:tc>
      </w:tr>
      <w:tr>
        <w:tc>
          <w:tcPr>
            <w:tcW w:type="dxa" w:w="2880"/>
          </w:tcPr>
          <w:p>
            <w:r>
              <w:t>sd</w:t>
            </w:r>
          </w:p>
        </w:tc>
        <w:tc>
          <w:tcPr>
            <w:tcW w:type="dxa" w:w="2880"/>
          </w:tcPr>
          <w:p>
            <w:r>
              <w:t>-0.619757</w:t>
            </w:r>
          </w:p>
        </w:tc>
        <w:tc>
          <w:tcPr>
            <w:tcW w:type="dxa" w:w="2880"/>
          </w:tcPr>
          <w:p>
            <w:r>
              <w:t>-0.550627</w:t>
            </w:r>
          </w:p>
        </w:tc>
      </w:tr>
      <w:tr>
        <w:tc>
          <w:tcPr>
            <w:tcW w:type="dxa" w:w="2880"/>
          </w:tcPr>
          <w:p>
            <w:r>
              <w:t>modindx</w:t>
            </w:r>
          </w:p>
        </w:tc>
        <w:tc>
          <w:tcPr>
            <w:tcW w:type="dxa" w:w="2880"/>
          </w:tcPr>
          <w:p>
            <w:r>
              <w:t>0.497065</w:t>
            </w:r>
          </w:p>
        </w:tc>
        <w:tc>
          <w:tcPr>
            <w:tcW w:type="dxa" w:w="2880"/>
          </w:tcPr>
          <w:p>
            <w:r>
              <w:t>0.491182</w:t>
            </w:r>
          </w:p>
        </w:tc>
      </w:tr>
      <w:tr>
        <w:tc>
          <w:tcPr>
            <w:tcW w:type="dxa" w:w="2880"/>
          </w:tcPr>
          <w:p>
            <w:r>
              <w:t>Q75</w:t>
            </w:r>
          </w:p>
        </w:tc>
        <w:tc>
          <w:tcPr>
            <w:tcW w:type="dxa" w:w="2880"/>
          </w:tcPr>
          <w:p>
            <w:r>
              <w:t>0.225542</w:t>
            </w:r>
          </w:p>
        </w:tc>
        <w:tc>
          <w:tcPr>
            <w:tcW w:type="dxa" w:w="2880"/>
          </w:tcPr>
          <w:p>
            <w:r>
              <w:t>0.074424</w:t>
            </w:r>
          </w:p>
        </w:tc>
      </w:tr>
      <w:tr>
        <w:tc>
          <w:tcPr>
            <w:tcW w:type="dxa" w:w="2880"/>
          </w:tcPr>
          <w:p>
            <w:r>
              <w:t>meandom</w:t>
            </w:r>
          </w:p>
        </w:tc>
        <w:tc>
          <w:tcPr>
            <w:tcW w:type="dxa" w:w="2880"/>
          </w:tcPr>
          <w:p>
            <w:r>
              <w:t>0.163266</w:t>
            </w:r>
          </w:p>
        </w:tc>
        <w:tc>
          <w:tcPr>
            <w:tcW w:type="dxa" w:w="2880"/>
          </w:tcPr>
          <w:p>
            <w:r>
              <w:t>0.157559</w:t>
            </w:r>
          </w:p>
        </w:tc>
      </w:tr>
      <w:tr>
        <w:tc>
          <w:tcPr>
            <w:tcW w:type="dxa" w:w="2880"/>
          </w:tcPr>
          <w:p>
            <w:r>
              <w:t>mode</w:t>
            </w:r>
          </w:p>
        </w:tc>
        <w:tc>
          <w:tcPr>
            <w:tcW w:type="dxa" w:w="2880"/>
          </w:tcPr>
          <w:p>
            <w:r>
              <w:t>0.073492</w:t>
            </w:r>
          </w:p>
        </w:tc>
        <w:tc>
          <w:tcPr>
            <w:tcW w:type="dxa" w:w="2880"/>
          </w:tcPr>
          <w:p>
            <w:r>
              <w:t>0.070518</w:t>
            </w:r>
          </w:p>
        </w:tc>
      </w:tr>
    </w:tbl>
    <w:p>
      <w:r>
        <w:t>Observação: o melhor L1 (C=100.0) não zerou variáveis — penalização fraca. Para seleção dura, C menores tenderiam a induzir esparsidade. A correlação alta entre meanfreq e centroid explica a partilha de peso sob L2. Sinais indicam o efeito na log-odds de 'female' (positivos aumentam, negativos reduzem).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3956594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 15 coef — L1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565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A8 — Barras Top |coef| (L1 ou L2).</w:t>
      </w:r>
    </w:p>
    <w:p>
      <w:pPr>
        <w:pStyle w:val="Heading1"/>
      </w:pPr>
      <w:r>
        <w:t>7) Parte B — Logística “do zero” com RMSE (comparativo)</w:t>
      </w:r>
    </w:p>
    <w:p>
      <w:r>
        <w:t>Convergência do treinamento (MSE por época):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039514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inamento com MSE (equivalente ao RMSE para o minimizador)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0395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B1 — Curva de treinamento (MSE × época).</w:t>
      </w:r>
    </w:p>
    <w:p>
      <w:r>
        <w:t>Desempenho no teste (RMSE-model):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Acurácia</w:t>
            </w:r>
          </w:p>
        </w:tc>
        <w:tc>
          <w:tcPr>
            <w:tcW w:type="dxa" w:w="4320"/>
          </w:tcPr>
          <w:p>
            <w:r>
              <w:t>0.9590</w:t>
            </w:r>
          </w:p>
        </w:tc>
      </w:tr>
      <w:tr>
        <w:tc>
          <w:tcPr>
            <w:tcW w:type="dxa" w:w="4320"/>
          </w:tcPr>
          <w:p>
            <w:r>
              <w:t>Precisão</w:t>
            </w:r>
          </w:p>
        </w:tc>
        <w:tc>
          <w:tcPr>
            <w:tcW w:type="dxa" w:w="4320"/>
          </w:tcPr>
          <w:p>
            <w:r>
              <w:t>0.9678</w:t>
            </w:r>
          </w:p>
        </w:tc>
      </w:tr>
      <w:tr>
        <w:tc>
          <w:tcPr>
            <w:tcW w:type="dxa" w:w="4320"/>
          </w:tcPr>
          <w:p>
            <w:r>
              <w:t>Recall</w:t>
            </w:r>
          </w:p>
        </w:tc>
        <w:tc>
          <w:tcPr>
            <w:tcW w:type="dxa" w:w="4320"/>
          </w:tcPr>
          <w:p>
            <w:r>
              <w:t>0.9495</w:t>
            </w:r>
          </w:p>
        </w:tc>
      </w:tr>
      <w:tr>
        <w:tc>
          <w:tcPr>
            <w:tcW w:type="dxa" w:w="4320"/>
          </w:tcPr>
          <w:p>
            <w:r>
              <w:t>F1-score</w:t>
            </w:r>
          </w:p>
        </w:tc>
        <w:tc>
          <w:tcPr>
            <w:tcW w:type="dxa" w:w="4320"/>
          </w:tcPr>
          <w:p>
            <w:r>
              <w:t>0.9586</w:t>
            </w:r>
          </w:p>
        </w:tc>
      </w:tr>
      <w:tr>
        <w:tc>
          <w:tcPr>
            <w:tcW w:type="dxa" w:w="4320"/>
          </w:tcPr>
          <w:p>
            <w:r>
              <w:t>RMSE (teste)</w:t>
            </w:r>
          </w:p>
        </w:tc>
        <w:tc>
          <w:tcPr>
            <w:tcW w:type="dxa" w:w="4320"/>
          </w:tcPr>
          <w:p>
            <w:r>
              <w:t>0.2017</w:t>
            </w:r>
          </w:p>
        </w:tc>
      </w:tr>
    </w:tbl>
    <w:p>
      <w:r>
        <w:t>Calibração de probabilidades (quanto mais próximo da diagonal, melhor; Brier menor = melhor):</w:t>
      </w:r>
    </w:p>
    <w:p>
      <w:r>
        <w:rPr>
          <w:b/>
        </w:rPr>
        <w:t xml:space="preserve">Brier (Logístico padrão): </w:t>
      </w:r>
      <w:r>
        <w:t>0.0287</w:t>
      </w:r>
      <w:r>
        <w:t xml:space="preserve">    |    </w:t>
      </w:r>
      <w:r>
        <w:rPr>
          <w:b/>
        </w:rPr>
        <w:t xml:space="preserve">Brier (RMSE): </w:t>
      </w:r>
      <w:r>
        <w:t>0.0407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265264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libração — Logístico (log-loss)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265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B2 — Calibração: modelo logístico (log-loss).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255911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libração — Treinado com RMS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255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B3 — Calibração: modelo RMSE.</w:t>
      </w:r>
    </w:p>
    <w:p>
      <w:pPr>
        <w:pStyle w:val="Heading1"/>
      </w:pPr>
      <w:r>
        <w:t>8) Conclusões</w:t>
      </w:r>
    </w:p>
    <w:p>
      <w:pPr>
        <w:pStyle w:val="ListBullet"/>
      </w:pPr>
      <w:r>
        <w:t>Modelo recomendado: Regressão Logística com L2 e C=10 (calibração superior e ótimo desempenho).</w:t>
      </w:r>
    </w:p>
    <w:p>
      <w:pPr>
        <w:pStyle w:val="ListBullet"/>
      </w:pPr>
      <w:r>
        <w:t>Modelo RMSE: métricas próximas, mas calibração inferior (Brier maior).</w:t>
      </w:r>
    </w:p>
    <w:p>
      <w:pPr>
        <w:pStyle w:val="ListBullet"/>
      </w:pPr>
      <w:r>
        <w:t>Para seleção de variáveis, testar L1 com C menores para induzir esparsidade.</w:t>
      </w:r>
    </w:p>
    <w:p>
      <w:pPr>
        <w:pStyle w:val="ListBullet"/>
      </w:pPr>
      <w:r>
        <w:t>Multicolinearidade observada (meanfreq×centroid) tratada por L2; sinais coerentes com a EDA.</w:t>
      </w:r>
    </w:p>
    <w:p>
      <w:pPr>
        <w:pStyle w:val="Heading1"/>
      </w:pPr>
      <w:r>
        <w:t>Apêndice — Figuras adicionais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255911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kew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255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Figura AP — Figura adicional (sem mapeamento automático).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