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Sinespaciado"/>
      </w:pPr>
    </w:p>
    <w:p>
      <w:pPr>
        <w:pStyle w:val="Sinespaciado"/>
        <w:jc w:val="center"/>
      </w:pPr>
      <w:r>
        <w:rPr>
          <w:rFonts w:ascii="Calibri" w:hAnsi="Calibri" w:eastAsia="Calibri" w:cs="Calibri"/>
          <w:b/>
          <w:sz w:val="26"/>
        </w:rPr>
        <w:t xml:space="preserve">CONTRATO DE PRESTACIÓN DE SERVICIOS DE DESARROLLO E IMPLEMENTACIÓN DE UNA PLATAFORMA DE INTELIGENCIA FINANCIERA Y OPTIMIZACIÓN OPERATIVA, CELEBRADO ENTRE CAMPUSLANDS S.A.S. BIC Y UNIDROGAS S.A.S.</w:t>
      </w:r>
    </w:p>
    <w:p>
      <w:pPr>
        <w:pStyle w:val="Sinespaciado"/>
        <w:jc w:val="both"/>
      </w:pPr>
      <w:r>
        <w:rPr>
          <w:rFonts w:ascii="Calibri" w:hAnsi="Calibri" w:eastAsia="Calibri" w:cs="Calibri"/>
        </w:rPr>
        <w:t xml:space="preserve">Entre los suscritos, por una parte, CAMPUSLANDS S.A.S. BIC, sociedad legalmente constituida conforme a las leyes de la República de Colombia, identificada con NIT 901.628.406-1, con domicilio en Floridablanca, Santander, representada legalmente por YESENIA MERCHÁN PINZÓN, mayor de edad, identificada con cédula de ciudadanía No. 1.065.866.676, expedida en Aguachica, Cesar, quien para efectos del presente contrato se denominará “CAMPUSLANDS” o “EL CONTRATISTA”; y, por la otra, UNIDROGAS S.A.S., persona jurídica con domicilio principal en Floridablanca, Santander, con dirección en Kilómetro 3 - 981 Avenida Anillo Vial, Vía Río Frío, Lote F4 y F6, Zona Franca Santander, identificada con NIT No. 890.208.788-9, representada legalmente por JUAN FRANCISCO SUÁREZ GÓMEZ, mayor de edad, identificado con cédula de ciudadanía No. ____________, expedida en ____________, quien para efectos del presente contrato se denominará “UNIDROGAS” o “EL CLIENTE”; conjuntamente denominadas LAS PARTES, hemos acordado celebrar el presente Contrato de Prestación de Servicios de Desarrollo e Implementación de una Plataforma de Inteligencia Financiera y Optimización Operativa, previas las siguientes:</w:t>
      </w:r>
    </w:p>
    <w:p>
      <w:pPr>
        <w:pStyle w:val="Sinespaciado"/>
        <w:jc w:val="center"/>
      </w:pPr>
      <w:r>
        <w:rPr>
          <w:rFonts w:ascii="Calibri" w:hAnsi="Calibri" w:eastAsia="Calibri" w:cs="Calibri"/>
          <w:b/>
          <w:sz w:val="26"/>
        </w:rPr>
        <w:t xml:space="preserve">CONSIDERACIONES</w:t>
      </w:r>
    </w:p>
    <w:p>
      <w:pPr>
        <w:pStyle w:val="Sinespaciado"/>
        <w:jc w:val="both"/>
      </w:pPr>
      <w:r>
        <w:rPr>
          <w:rFonts w:ascii="Calibri" w:hAnsi="Calibri" w:eastAsia="Calibri" w:cs="Calibri"/>
        </w:rPr>
        <w:t xml:space="preserve">Que CAMPUSLANDS S.A.S. BIC cuenta con la capacidad técnica, operativa y tecnológica para desarrollar, implementar y acompañar soluciones de software con inteligencia artificial aplicadas a procesos empresariales.</w:t>
      </w:r>
    </w:p>
    <w:p>
      <w:pPr>
        <w:pStyle w:val="Sinespaciado"/>
        <w:jc w:val="both"/>
      </w:pPr>
      <w:r>
        <w:rPr>
          <w:rFonts w:ascii="Calibri" w:hAnsi="Calibri" w:eastAsia="Calibri" w:cs="Calibri"/>
        </w:rPr>
        <w:t xml:space="preserve">Que EL CLIENTE requiere la implementación de una plataforma centralizada de inteligencia financiera, analítica operativa y apoyo a la toma de decisiones para su operación nacional, que permita consolidar la información proveniente de sus fuentes corporativas (ERP Maía, Oracle, archivos Excel, recibos de servicios públicos y contratos de arriendo), procesarla mediante modelos de inteligencia artificial y presentarla a través de dashboards ejecutivos y un agente conversacional inteligente.</w:t>
      </w:r>
    </w:p>
    <w:p>
      <w:pPr>
        <w:pStyle w:val="Sinespaciado"/>
        <w:jc w:val="both"/>
      </w:pPr>
      <w:r>
        <w:rPr>
          <w:rFonts w:ascii="Calibri" w:hAnsi="Calibri" w:eastAsia="Calibri" w:cs="Calibri"/>
        </w:rPr>
        <w:t xml:space="preserve">Que CAMPUSLANDS presentó a EL CLIENTE el Documento de Alcance Funcional del proyecto, con los módulos, fases, cronograma, inversión y forma de pago, los cuales se incorporan de manera íntegra al presente contrato en la Cláusula Tercera y en la Cláusula Quinta.</w:t>
      </w:r>
    </w:p>
    <w:p>
      <w:pPr>
        <w:pStyle w:val="Sinespaciado"/>
        <w:jc w:val="both"/>
      </w:pPr>
      <w:r>
        <w:rPr>
          <w:rFonts w:ascii="Calibri" w:hAnsi="Calibri" w:eastAsia="Calibri" w:cs="Calibri"/>
        </w:rPr>
        <w:t xml:space="preserve">Que LAS PARTES reconocen que el presente contrato corresponde a un desarrollo de software con inteligencia artificial a la medida, conforme a las necesidades informadas por EL CLIENTE y a los alcances expresamente pactados, bajo un esquema de cesión de derechos patrimoniales a favor de EL CLIENTE en los términos de la Cláusula Novena.</w:t>
      </w:r>
    </w:p>
    <w:p>
      <w:pPr>
        <w:pStyle w:val="Sinespaciado"/>
        <w:jc w:val="both"/>
      </w:pPr>
      <w:r>
        <w:rPr>
          <w:rFonts w:ascii="Calibri" w:hAnsi="Calibri" w:eastAsia="Calibri" w:cs="Calibri"/>
        </w:rPr>
        <w:t xml:space="preserve">Que, con fundamento en lo anterior, LAS PARTES celebran el presente contrato.</w:t>
      </w:r>
    </w:p>
    <w:p>
      <w:pPr>
        <w:pStyle w:val="Sinespaciado"/>
        <w:jc w:val="both"/>
      </w:pPr>
      <w:r>
        <w:rPr>
          <w:rFonts w:ascii="Calibri" w:hAnsi="Calibri" w:eastAsia="Calibri" w:cs="Calibri"/>
        </w:rPr>
        <w:t xml:space="preserve">En virtud de lo anterior, LAS PARTES acuerdan las siguientes:</w:t>
      </w:r>
    </w:p>
    <w:p>
      <w:pPr>
        <w:pStyle w:val="Sinespaciado"/>
        <w:jc w:val="center"/>
      </w:pPr>
      <w:r>
        <w:rPr>
          <w:rFonts w:ascii="Calibri" w:hAnsi="Calibri" w:eastAsia="Calibri" w:cs="Calibri"/>
          <w:b/>
          <w:sz w:val="26"/>
        </w:rPr>
        <w:t xml:space="preserve">CLÁUSULAS</w:t>
      </w:r>
    </w:p>
    <w:p>
      <w:pPr>
        <w:pStyle w:val="Sinespaciado"/>
        <w:jc w:val="both"/>
      </w:pPr>
      <w:r>
        <w:rPr>
          <w:rFonts w:ascii="Calibri" w:hAnsi="Calibri" w:eastAsia="Calibri" w:cs="Calibri"/>
          <w:b/>
        </w:rPr>
        <w:t xml:space="preserve">PRIMERA. OBJETO: </w:t>
      </w:r>
      <w:r>
        <w:rPr>
          <w:rFonts w:ascii="Calibri" w:hAnsi="Calibri" w:eastAsia="Calibri" w:cs="Calibri"/>
        </w:rPr>
        <w:t xml:space="preserve">CAMPUSLANDS se compromete a diseñar, desarrollar, configurar, implementar, poner en producción y entregar a EL CLIENTE una plataforma centralizada de inteligencia financiera y optimización operativa basada en inteligencia artificial, orientada a la ingesta y consolidación de datos, la digitalización de recibos públicos, la analítica de gastos y eficiencia operativa, la rentabilidad y operación, la gestión de arriendos, el simulador de contingencias, la inteligencia de mercado y regulación, y la interacción mediante un agente conversacional inteligente, dentro de la operación nacional de EL CLIENTE.</w:t>
      </w:r>
    </w:p>
    <w:p>
      <w:pPr>
        <w:pStyle w:val="Sinespaciado"/>
        <w:jc w:val="both"/>
      </w:pPr>
      <w:r>
        <w:rPr>
          <w:rFonts w:ascii="Calibri" w:hAnsi="Calibri" w:eastAsia="Calibri" w:cs="Calibri"/>
          <w:b/>
        </w:rPr>
        <w:t xml:space="preserve">PARÁGRAFO. </w:t>
      </w:r>
      <w:r>
        <w:rPr>
          <w:rFonts w:ascii="Calibri" w:hAnsi="Calibri" w:eastAsia="Calibri" w:cs="Calibri"/>
        </w:rPr>
        <w:t xml:space="preserve">El proyecto inicia formalmente mediante una reunión de Kick-off, en la que se definirá de común acuerdo el cronograma detallado de actividades y las fechas de entrega de cada fase, conforme al Acuerdo de Aceptación de Inicio de Desarrollo suscrito por LAS PARTES como documento anexo e integrante del presente contrato.</w:t>
      </w:r>
    </w:p>
    <w:p>
      <w:pPr>
        <w:pStyle w:val="Sinespaciado"/>
        <w:jc w:val="both"/>
      </w:pPr>
      <w:r>
        <w:rPr>
          <w:rFonts w:ascii="Calibri" w:hAnsi="Calibri" w:eastAsia="Calibri" w:cs="Calibri"/>
          <w:b/>
        </w:rPr>
        <w:t xml:space="preserve">SEGUNDA. NATURALEZA JURÍDICA: </w:t>
      </w:r>
      <w:r>
        <w:rPr>
          <w:rFonts w:ascii="Calibri" w:hAnsi="Calibri" w:eastAsia="Calibri" w:cs="Calibri"/>
        </w:rPr>
        <w:t xml:space="preserve">El presente contrato es de naturaleza comercial y tecnológica. Su finalidad es regular el desarrollo de la plataforma a la medida, así como los servicios de implementación, configuración, capacitación, soporte y garantía asociados. LAS PARTES entienden que la solución funcionará como una herramienta de apoyo, automatización, análisis y gestión, por lo que CAMPUSLANDS asume una obligación de medio calificado y no garantiza un resultado empresarial específico ni reemplaza el criterio o la decisión final de EL CLIENTE en sus procesos internos.</w:t>
      </w:r>
    </w:p>
    <w:p>
      <w:pPr>
        <w:pStyle w:val="Sinespaciado"/>
        <w:jc w:val="both"/>
      </w:pPr>
      <w:r>
        <w:rPr>
          <w:rFonts w:ascii="Calibri" w:hAnsi="Calibri" w:eastAsia="Calibri" w:cs="Calibri"/>
          <w:b/>
        </w:rPr>
        <w:t xml:space="preserve">TERCERA. ALCANCE FUNCIONAL DEL DESARROLLO: </w:t>
      </w:r>
      <w:r>
        <w:rPr>
          <w:rFonts w:ascii="Calibri" w:hAnsi="Calibri" w:eastAsia="Calibri" w:cs="Calibri"/>
        </w:rPr>
        <w:t xml:space="preserve">El desarrollo objeto del presente contrato comprenderá los siguientes diez (10) módulos y funcionalidades principales:</w:t>
      </w:r>
    </w:p>
    <w:p>
      <w:pPr>
        <w:pStyle w:val="Sinespaciado"/>
        <w:ind w:left="432" w:hanging="216"/>
        <w:jc w:val="both"/>
      </w:pPr>
      <w:r>
        <w:rPr>
          <w:rFonts w:ascii="Calibri" w:hAnsi="Calibri" w:eastAsia="Calibri" w:cs="Calibri"/>
          <w:b/>
        </w:rPr>
        <w:t>•</w:t>
        <w:tab/>
      </w:r>
      <w:r>
        <w:rPr>
          <w:rFonts w:ascii="Calibri" w:hAnsi="Calibri" w:eastAsia="Calibri" w:cs="Calibri"/>
        </w:rPr>
        <w:t xml:space="preserve">Módulo 1 – Ingesta y consolidación de datos: integración vía API REST con el ERP Maía (movimientos contables, reportes P&amp;G por punto de venta) y con Oracle (tickets de venta, información por franja horaria), importación de archivos Excel estandarizados (histórico de gastos, consolidado financiero e indicadores operativos) y gestión de arriendos (importación del archivo maestro, validación de contratos y consolidación de condiciones comerciales).</w:t>
      </w:r>
    </w:p>
    <w:p>
      <w:pPr>
        <w:pStyle w:val="Sinespaciado"/>
        <w:ind w:left="432" w:hanging="216"/>
        <w:jc w:val="both"/>
      </w:pPr>
      <w:r>
        <w:rPr>
          <w:rFonts w:ascii="Calibri" w:hAnsi="Calibri" w:eastAsia="Calibri" w:cs="Calibri"/>
          <w:b/>
        </w:rPr>
        <w:t>•</w:t>
        <w:tab/>
      </w:r>
      <w:r>
        <w:rPr>
          <w:rFonts w:ascii="Calibri" w:hAnsi="Calibri" w:eastAsia="Calibri" w:cs="Calibri"/>
        </w:rPr>
        <w:t xml:space="preserve">Módulo 2 – Digitalización de recibos públicos: recepción de imágenes y archivos PDF, procesamiento OCR con extracción automática de texto, interpretación mediante modelos de inteligencia artificial para la estructuración automática de variables de energía, acueducto y aseo, y almacenamiento en base de datos relacional y base vectorial para IA.</w:t>
      </w:r>
    </w:p>
    <w:p>
      <w:pPr>
        <w:pStyle w:val="Sinespaciado"/>
        <w:ind w:left="432" w:hanging="216"/>
        <w:jc w:val="both"/>
      </w:pPr>
      <w:r>
        <w:rPr>
          <w:rFonts w:ascii="Calibri" w:hAnsi="Calibri" w:eastAsia="Calibri" w:cs="Calibri"/>
          <w:b/>
        </w:rPr>
        <w:t>•</w:t>
        <w:tab/>
      </w:r>
      <w:r>
        <w:rPr>
          <w:rFonts w:ascii="Calibri" w:hAnsi="Calibri" w:eastAsia="Calibri" w:cs="Calibri"/>
        </w:rPr>
        <w:t xml:space="preserve">Módulo 3 – Dashboard ejecutivo financiero: vista corporativa (EBITDA, utilidad neta, margen operacional, ingresos, gastos y costos operativos) y vista por punto de venta (ventas, costos, rentabilidad, EBITDA y margen), con visualizaciones de tendencias mensuales, comparativos históricos y ranking de sucursales.</w:t>
      </w:r>
    </w:p>
    <w:p>
      <w:pPr>
        <w:pStyle w:val="Sinespaciado"/>
        <w:ind w:left="432" w:hanging="216"/>
        <w:jc w:val="both"/>
      </w:pPr>
      <w:r>
        <w:rPr>
          <w:rFonts w:ascii="Calibri" w:hAnsi="Calibri" w:eastAsia="Calibri" w:cs="Calibri"/>
          <w:b/>
        </w:rPr>
        <w:t>•</w:t>
        <w:tab/>
      </w:r>
      <w:r>
        <w:rPr>
          <w:rFonts w:ascii="Calibri" w:hAnsi="Calibri" w:eastAsia="Calibri" w:cs="Calibri"/>
        </w:rPr>
        <w:t xml:space="preserve">Módulo 4 – Analítica de gastos y eficiencia operativa: ranking de consumos energéticos e hídricos, identificación de anomalías y desviaciones, mapas de calor geográficos, comparativos por región y análisis de asimetrías entre puntos de venta cercanos, por tamaño y por nivel de ventas.</w:t>
      </w:r>
    </w:p>
    <w:p>
      <w:pPr>
        <w:pStyle w:val="Sinespaciado"/>
        <w:ind w:left="432" w:hanging="216"/>
        <w:jc w:val="both"/>
      </w:pPr>
      <w:r>
        <w:rPr>
          <w:rFonts w:ascii="Calibri" w:hAnsi="Calibri" w:eastAsia="Calibri" w:cs="Calibri"/>
          <w:b/>
        </w:rPr>
        <w:t>•</w:t>
        <w:tab/>
      </w:r>
      <w:r>
        <w:rPr>
          <w:rFonts w:ascii="Calibri" w:hAnsi="Calibri" w:eastAsia="Calibri" w:cs="Calibri"/>
        </w:rPr>
        <w:t xml:space="preserve">Módulo 5 – Rentabilidad y operación 24/7: análisis de rentabilidad por punto de venta, región y horario, y evaluación de operación nocturna (ventas, consumo energético, horas extra y recargos nocturnos) para determinar la viabilidad financiera de una operación de veinticuatro (24) horas.</w:t>
      </w:r>
    </w:p>
    <w:p>
      <w:pPr>
        <w:pStyle w:val="Sinespaciado"/>
        <w:ind w:left="432" w:hanging="216"/>
        <w:jc w:val="both"/>
      </w:pPr>
      <w:r>
        <w:rPr>
          <w:rFonts w:ascii="Calibri" w:hAnsi="Calibri" w:eastAsia="Calibri" w:cs="Calibri"/>
          <w:b/>
        </w:rPr>
        <w:t>•</w:t>
        <w:tab/>
      </w:r>
      <w:r>
        <w:rPr>
          <w:rFonts w:ascii="Calibri" w:hAnsi="Calibri" w:eastAsia="Calibri" w:cs="Calibri"/>
        </w:rPr>
        <w:t xml:space="preserve">Módulo 6 – Mantenimiento e infraestructura: gestión de mantenimientos por categoría (pisos, pintura, chapas, electricidad e infraestructura), gestión de proveedores (costos, frecuencia de contratación e indicadores de desempeño) y comparativo entre especialistas internos y contratación externa.</w:t>
      </w:r>
    </w:p>
    <w:p>
      <w:pPr>
        <w:pStyle w:val="Sinespaciado"/>
        <w:ind w:left="432" w:hanging="216"/>
        <w:jc w:val="both"/>
      </w:pPr>
      <w:r>
        <w:rPr>
          <w:rFonts w:ascii="Calibri" w:hAnsi="Calibri" w:eastAsia="Calibri" w:cs="Calibri"/>
          <w:b/>
        </w:rPr>
        <w:t>•</w:t>
        <w:tab/>
      </w:r>
      <w:r>
        <w:rPr>
          <w:rFonts w:ascii="Calibri" w:hAnsi="Calibri" w:eastAsia="Calibri" w:cs="Calibri"/>
        </w:rPr>
        <w:t xml:space="preserve">Módulo 7 – Agente conversacional inteligente: chat empresarial integrado en el dashboard con consultas en lenguaje natural y respuestas contextuales, orquestado mediante tres (3) motores de inteligencia artificial (Text-to-SQL, Claude y Gemini) para la interpretación financiera, la generación de conclusiones y recomendaciones, y el procesamiento documental.</w:t>
      </w:r>
    </w:p>
    <w:p>
      <w:pPr>
        <w:pStyle w:val="Sinespaciado"/>
        <w:ind w:left="432" w:hanging="216"/>
        <w:jc w:val="both"/>
      </w:pPr>
      <w:r>
        <w:rPr>
          <w:rFonts w:ascii="Calibri" w:hAnsi="Calibri" w:eastAsia="Calibri" w:cs="Calibri"/>
          <w:b/>
        </w:rPr>
        <w:t>•</w:t>
        <w:tab/>
      </w:r>
      <w:r>
        <w:rPr>
          <w:rFonts w:ascii="Calibri" w:hAnsi="Calibri" w:eastAsia="Calibri" w:cs="Calibri"/>
        </w:rPr>
        <w:t xml:space="preserve">Módulo 8 – Gestión de arriendos: asistente de negociación (generación automática de cartas, recomendaciones de negociación y análisis histórico) y alertas contractuales de vencimientos, renovaciones e incrementos próximos.</w:t>
      </w:r>
    </w:p>
    <w:p>
      <w:pPr>
        <w:pStyle w:val="Sinespaciado"/>
        <w:ind w:left="432" w:hanging="216"/>
        <w:jc w:val="both"/>
      </w:pPr>
      <w:r>
        <w:rPr>
          <w:rFonts w:ascii="Calibri" w:hAnsi="Calibri" w:eastAsia="Calibri" w:cs="Calibri"/>
          <w:b/>
        </w:rPr>
        <w:t>•</w:t>
        <w:tab/>
      </w:r>
      <w:r>
        <w:rPr>
          <w:rFonts w:ascii="Calibri" w:hAnsi="Calibri" w:eastAsia="Calibri" w:cs="Calibri"/>
        </w:rPr>
        <w:t xml:space="preserve">Módulo 9 – Simulador de contingencias: evaluación de escenarios (cierre temporal de sucursales, emergencias sanitarias, situaciones regulatorias y eventos de fuerza mayor), con estimación de impacto financiero, pérdidas proyectadas, costos de operación y recomendación de acción.</w:t>
      </w:r>
    </w:p>
    <w:p>
      <w:pPr>
        <w:pStyle w:val="Sinespaciado"/>
        <w:ind w:left="432" w:hanging="216"/>
        <w:jc w:val="both"/>
      </w:pPr>
      <w:r>
        <w:rPr>
          <w:rFonts w:ascii="Calibri" w:hAnsi="Calibri" w:eastAsia="Calibri" w:cs="Calibri"/>
          <w:b/>
        </w:rPr>
        <w:t>•</w:t>
        <w:tab/>
      </w:r>
      <w:r>
        <w:rPr>
          <w:rFonts w:ascii="Calibri" w:hAnsi="Calibri" w:eastAsia="Calibri" w:cs="Calibri"/>
        </w:rPr>
        <w:t xml:space="preserve">Módulo 10 – Inteligencia de mercado y regulación: análisis de tendencias de mercado a partir de la integración de fuentes externas e identificación de oportunidades comerciales, y evaluación de incentivos regulatorios (inversión inicial, beneficios tributarios, deducciones, depreciación, ROI, TIR y payback).</w:t>
      </w:r>
    </w:p>
    <w:p>
      <w:pPr>
        <w:pStyle w:val="Sinespaciado"/>
        <w:jc w:val="both"/>
      </w:pPr>
      <w:r>
        <w:rPr>
          <w:rFonts w:ascii="Calibri" w:hAnsi="Calibri" w:eastAsia="Calibri" w:cs="Calibri"/>
          <w:b/>
        </w:rPr>
        <w:t xml:space="preserve">PARÁGRAFO PRIMERO. </w:t>
      </w:r>
      <w:r>
        <w:rPr>
          <w:rFonts w:ascii="Calibri" w:hAnsi="Calibri" w:eastAsia="Calibri" w:cs="Calibri"/>
        </w:rPr>
        <w:t xml:space="preserve">Las funcionalidades descritas constituyen el alcance contratado. Cualquier módulo, integración, flujo, automatización, reporte, conexión con sistemas externos, ajuste estructural o funcionalidad adicional no prevista expresamente en este contrato —incluyendo las funcionalidades marcadas como fases futuras en el Documento de Alcance Funcional— será considerada mejora evolutiva y deberá ser cotizada, aprobada y contratada por separado, mediante el procedimiento de control de cambios.</w:t>
      </w:r>
    </w:p>
    <w:p>
      <w:pPr>
        <w:pStyle w:val="Sinespaciado"/>
        <w:jc w:val="both"/>
      </w:pPr>
      <w:r>
        <w:rPr>
          <w:rFonts w:ascii="Calibri" w:hAnsi="Calibri" w:eastAsia="Calibri" w:cs="Calibri"/>
          <w:b/>
        </w:rPr>
        <w:t xml:space="preserve">PARÁGRAFO SEGUNDO. </w:t>
      </w:r>
      <w:r>
        <w:rPr>
          <w:rFonts w:ascii="Calibri" w:hAnsi="Calibri" w:eastAsia="Calibri" w:cs="Calibri"/>
        </w:rPr>
        <w:t xml:space="preserve">La solución dependerá de servicios de terceros, tales como el ERP Maía, Oracle, servicios cloud, APIs de inteligencia artificial (incluyendo modelos Claude y Gemini) y demás herramientas tecnológicas requeridas. CAMPUSLANDS no será responsable por fallas, suspensiones, bloqueos, cambios de tarifa, restricciones, políticas, indisponibilidades o modificaciones imputables a dichos terceros. La disponibilidad, calidad y accesibilidad de las fuentes de datos —incluyendo los accesos a las APIs del ERP Maía y de Oracle, los archivos Excel y los maestros de arriendos— es responsabilidad de EL CLIENTE.</w:t>
      </w:r>
    </w:p>
    <w:p>
      <w:pPr>
        <w:pStyle w:val="Sinespaciado"/>
        <w:jc w:val="both"/>
      </w:pPr>
      <w:r>
        <w:rPr>
          <w:rFonts w:ascii="Calibri" w:hAnsi="Calibri" w:eastAsia="Calibri" w:cs="Calibri"/>
          <w:b/>
        </w:rPr>
        <w:t xml:space="preserve">CUARTA. CRONOGRAMA Y FASES DE EJECUCIÓN: </w:t>
      </w:r>
      <w:r>
        <w:rPr>
          <w:rFonts w:ascii="Calibri" w:hAnsi="Calibri" w:eastAsia="Calibri" w:cs="Calibri"/>
        </w:rPr>
        <w:t xml:space="preserve">El presente Contrato tendrá una duración estimada de tres y medio (3,5) meses de desarrollo, más un período adicional de dos (2) semanas de pruebas y estabilización, contados a partir de la suscripción del Acuerdo de Aceptación de Inicio de Desarrollo, el pago del anticipo y la entrega completa de la información y accesos requeridos por EL CLIENTE. Dentro de dicho término, CAMPUSLANDS ejecutará las siguientes fases:</w:t>
      </w:r>
    </w:p>
    <w:p>
      <w:pPr>
        <w:pStyle w:val="Sinespaciado"/>
        <w:ind w:left="432" w:hanging="216"/>
        <w:jc w:val="both"/>
      </w:pPr>
      <w:r>
        <w:rPr>
          <w:rFonts w:ascii="Calibri" w:hAnsi="Calibri" w:eastAsia="Calibri" w:cs="Calibri"/>
          <w:b/>
        </w:rPr>
        <w:t>•</w:t>
        <w:tab/>
      </w:r>
      <w:r>
        <w:rPr>
          <w:rFonts w:ascii="Calibri" w:hAnsi="Calibri" w:eastAsia="Calibri" w:cs="Calibri"/>
        </w:rPr>
        <w:t xml:space="preserve">Mes 1 – Arquitectura e integración de fuentes de datos.</w:t>
      </w:r>
    </w:p>
    <w:p>
      <w:pPr>
        <w:pStyle w:val="Sinespaciado"/>
        <w:ind w:left="432" w:hanging="216"/>
        <w:jc w:val="both"/>
      </w:pPr>
      <w:r>
        <w:rPr>
          <w:rFonts w:ascii="Calibri" w:hAnsi="Calibri" w:eastAsia="Calibri" w:cs="Calibri"/>
          <w:b/>
        </w:rPr>
        <w:t>•</w:t>
        <w:tab/>
      </w:r>
      <w:r>
        <w:rPr>
          <w:rFonts w:ascii="Calibri" w:hAnsi="Calibri" w:eastAsia="Calibri" w:cs="Calibri"/>
        </w:rPr>
        <w:t xml:space="preserve">Mes 2 – Ingesta, procesamiento OCR y dashboard base.</w:t>
      </w:r>
    </w:p>
    <w:p>
      <w:pPr>
        <w:pStyle w:val="Sinespaciado"/>
        <w:ind w:left="432" w:hanging="216"/>
        <w:jc w:val="both"/>
      </w:pPr>
      <w:r>
        <w:rPr>
          <w:rFonts w:ascii="Calibri" w:hAnsi="Calibri" w:eastAsia="Calibri" w:cs="Calibri"/>
          <w:b/>
        </w:rPr>
        <w:t>•</w:t>
        <w:tab/>
      </w:r>
      <w:r>
        <w:rPr>
          <w:rFonts w:ascii="Calibri" w:hAnsi="Calibri" w:eastAsia="Calibri" w:cs="Calibri"/>
        </w:rPr>
        <w:t xml:space="preserve">Mes 3 – Analítica avanzada, rentabilidad y agente conversacional.</w:t>
      </w:r>
    </w:p>
    <w:p>
      <w:pPr>
        <w:pStyle w:val="Sinespaciado"/>
        <w:ind w:left="432" w:hanging="216"/>
        <w:jc w:val="both"/>
      </w:pPr>
      <w:r>
        <w:rPr>
          <w:rFonts w:ascii="Calibri" w:hAnsi="Calibri" w:eastAsia="Calibri" w:cs="Calibri"/>
          <w:b/>
        </w:rPr>
        <w:t>•</w:t>
        <w:tab/>
      </w:r>
      <w:r>
        <w:rPr>
          <w:rFonts w:ascii="Calibri" w:hAnsi="Calibri" w:eastAsia="Calibri" w:cs="Calibri"/>
        </w:rPr>
        <w:t xml:space="preserve">Mes 4 (primera quincena) – Gestión de arriendos, simulador de contingencias e inteligencia de mercado.</w:t>
      </w:r>
    </w:p>
    <w:p>
      <w:pPr>
        <w:pStyle w:val="Sinespaciado"/>
        <w:ind w:left="432" w:hanging="216"/>
        <w:jc w:val="both"/>
      </w:pPr>
      <w:r>
        <w:rPr>
          <w:rFonts w:ascii="Calibri" w:hAnsi="Calibri" w:eastAsia="Calibri" w:cs="Calibri"/>
          <w:b/>
        </w:rPr>
        <w:t>•</w:t>
        <w:tab/>
      </w:r>
      <w:r>
        <w:rPr>
          <w:rFonts w:ascii="Calibri" w:hAnsi="Calibri" w:eastAsia="Calibri" w:cs="Calibri"/>
        </w:rPr>
        <w:t xml:space="preserve">Dos (2) semanas finales – Pruebas de aceptación (QA), capacitación y puesta en producción (go-live).</w:t>
      </w:r>
    </w:p>
    <w:p>
      <w:pPr>
        <w:pStyle w:val="Sinespaciado"/>
        <w:jc w:val="both"/>
      </w:pPr>
      <w:r>
        <w:rPr>
          <w:rFonts w:ascii="Calibri" w:hAnsi="Calibri" w:eastAsia="Calibri" w:cs="Calibri"/>
          <w:b/>
        </w:rPr>
        <w:t xml:space="preserve">PARÁGRAFO. </w:t>
      </w:r>
      <w:r>
        <w:rPr>
          <w:rFonts w:ascii="Calibri" w:hAnsi="Calibri" w:eastAsia="Calibri" w:cs="Calibri"/>
        </w:rPr>
        <w:t xml:space="preserve">Los plazos podrán ajustarse de común entendimiento cuando se presenten retrasos asociados a la entrega de información o accesos por parte de EL CLIENTE (incluyendo los accesos a las APIs del ERP Maía y de Oracle), cambios de alcance, eventos de fuerza mayor o cualquier circunstancia razonable que afecte el desarrollo normal del proyecto, sin que ello constituya incumplimiento de CAMPUSLANDS.</w:t>
      </w:r>
    </w:p>
    <w:p>
      <w:pPr>
        <w:pStyle w:val="Sinespaciado"/>
        <w:jc w:val="both"/>
      </w:pPr>
      <w:r>
        <w:rPr>
          <w:rFonts w:ascii="Calibri" w:hAnsi="Calibri" w:eastAsia="Calibri" w:cs="Calibri"/>
          <w:b/>
        </w:rPr>
        <w:t xml:space="preserve">QUINTA. VALOR DEL CONTRATO: </w:t>
      </w:r>
      <w:r>
        <w:rPr>
          <w:rFonts w:ascii="Calibri" w:hAnsi="Calibri" w:eastAsia="Calibri" w:cs="Calibri"/>
        </w:rPr>
        <w:t xml:space="preserve">EL CLIENTE pagará a CAMPUSLANDS, por concepto del desarrollo, implementación, integración, puesta en funcionamiento y entrega operativa de la plataforma objeto del presente contrato, la suma total de OCHENTA Y OCHO MILLONES DE PESOS MONEDA LEGAL COLOMBIANA ($88.000.000 COP) MÁS IVA.</w:t>
      </w:r>
    </w:p>
    <w:p>
      <w:pPr>
        <w:pStyle w:val="Sinespaciado"/>
        <w:jc w:val="both"/>
      </w:pPr>
      <w:r>
        <w:rPr>
          <w:rFonts w:ascii="Calibri" w:hAnsi="Calibri" w:eastAsia="Calibri" w:cs="Calibri"/>
          <w:b/>
        </w:rPr>
        <w:t xml:space="preserve">SEXTA. FORMA DE PAGO: </w:t>
      </w:r>
      <w:r>
        <w:rPr>
          <w:rFonts w:ascii="Calibri" w:hAnsi="Calibri" w:eastAsia="Calibri" w:cs="Calibri"/>
        </w:rPr>
        <w:t xml:space="preserve">EL CLIENTE pagará el valor total del proyecto de la siguiente manera:</w:t>
      </w:r>
    </w:p>
    <w:p>
      <w:pPr>
        <w:pStyle w:val="Sinespaciado"/>
        <w:ind w:left="432" w:hanging="216"/>
        <w:jc w:val="both"/>
      </w:pPr>
      <w:r>
        <w:rPr>
          <w:rFonts w:ascii="Calibri" w:hAnsi="Calibri" w:eastAsia="Calibri" w:cs="Calibri"/>
          <w:b/>
        </w:rPr>
        <w:t>•</w:t>
        <w:tab/>
      </w:r>
      <w:r>
        <w:rPr>
          <w:rFonts w:ascii="Calibri" w:hAnsi="Calibri" w:eastAsia="Calibri" w:cs="Calibri"/>
        </w:rPr>
        <w:t xml:space="preserve">Primer pago (anticipo): TREINTA Y CINCO MILLONES DOSCIENTOS MIL PESOS ($35.200.000 COP), equivalentes al cuarenta por ciento (40%) del valor total, facturados por CAMPUSLANDS al inicio del proyecto, previa suscripción del Acuerdo de Aceptación de Inicio de Desarrollo. El pago deberá efectuarse dentro de los quince (15) días calendario siguientes a la recepción de la factura.</w:t>
      </w:r>
    </w:p>
    <w:p>
      <w:pPr>
        <w:pStyle w:val="Sinespaciado"/>
        <w:ind w:left="432" w:hanging="216"/>
        <w:jc w:val="both"/>
      </w:pPr>
      <w:r>
        <w:rPr>
          <w:rFonts w:ascii="Calibri" w:hAnsi="Calibri" w:eastAsia="Calibri" w:cs="Calibri"/>
          <w:b/>
        </w:rPr>
        <w:t>•</w:t>
        <w:tab/>
      </w:r>
      <w:r>
        <w:rPr>
          <w:rFonts w:ascii="Calibri" w:hAnsi="Calibri" w:eastAsia="Calibri" w:cs="Calibri"/>
        </w:rPr>
        <w:t xml:space="preserve">Segundo pago: TREINTA Y CINCO MILLONES DOSCIENTOS MIL PESOS ($35.200.000 COP), equivalentes al cuarenta por ciento (40%) del valor total, facturados al cumplirse el avance correspondiente a la mitad del proyecto. El pago deberá efectuarse dentro de los quince (15) días calendario siguientes a la recepción de la factura.</w:t>
      </w:r>
    </w:p>
    <w:p>
      <w:pPr>
        <w:pStyle w:val="Sinespaciado"/>
        <w:ind w:left="432" w:hanging="216"/>
        <w:jc w:val="both"/>
      </w:pPr>
      <w:r>
        <w:rPr>
          <w:rFonts w:ascii="Calibri" w:hAnsi="Calibri" w:eastAsia="Calibri" w:cs="Calibri"/>
          <w:b/>
        </w:rPr>
        <w:t>•</w:t>
        <w:tab/>
      </w:r>
      <w:r>
        <w:rPr>
          <w:rFonts w:ascii="Calibri" w:hAnsi="Calibri" w:eastAsia="Calibri" w:cs="Calibri"/>
        </w:rPr>
        <w:t xml:space="preserve">Tercer pago: DIECISIETE MILLONES SEISCIENTOS MIL PESOS ($17.600.000 COP), equivalentes al veinte por ciento (20%) del valor total, facturados una vez se realice la entrega final de la plataforma (go-live) y su validación técnica y funcional mediante acta de aceptación. El pago deberá efectuarse dentro de los diez (10) días calendario siguientes a la recepción de la factura.</w:t>
      </w:r>
    </w:p>
    <w:p>
      <w:pPr>
        <w:pStyle w:val="Sinespaciado"/>
        <w:jc w:val="both"/>
      </w:pPr>
      <w:r>
        <w:rPr>
          <w:rFonts w:ascii="Calibri" w:hAnsi="Calibri" w:eastAsia="Calibri" w:cs="Calibri"/>
          <w:b/>
        </w:rPr>
        <w:t xml:space="preserve">PARÁGRAFO PRIMERO. </w:t>
      </w:r>
      <w:r>
        <w:rPr>
          <w:rFonts w:ascii="Calibri" w:hAnsi="Calibri" w:eastAsia="Calibri" w:cs="Calibri"/>
        </w:rPr>
        <w:t xml:space="preserve">Los pagos deberán efectuarse mediante transferencia electrónica a la cuenta bancaria que designe CAMPUSLANDS en la respectiva factura.</w:t>
      </w:r>
    </w:p>
    <w:p>
      <w:pPr>
        <w:pStyle w:val="Sinespaciado"/>
        <w:jc w:val="both"/>
      </w:pPr>
      <w:r>
        <w:rPr>
          <w:rFonts w:ascii="Calibri" w:hAnsi="Calibri" w:eastAsia="Calibri" w:cs="Calibri"/>
          <w:b/>
        </w:rPr>
        <w:t xml:space="preserve">PARÁGRAFO SEGUNDO. </w:t>
      </w:r>
      <w:r>
        <w:rPr>
          <w:rFonts w:ascii="Calibri" w:hAnsi="Calibri" w:eastAsia="Calibri" w:cs="Calibri"/>
        </w:rPr>
        <w:t xml:space="preserve">Ningún pago realizado por EL CLIENTE antes de la entrega final y suscripción del acta de aceptación generará la cesión de derechos patrimoniales prevista en la Cláusula Novena, la cual se perfecciona en los términos allí establecidos.</w:t>
      </w:r>
    </w:p>
    <w:p>
      <w:pPr>
        <w:pStyle w:val="Sinespaciado"/>
        <w:jc w:val="both"/>
      </w:pPr>
      <w:r>
        <w:rPr>
          <w:rFonts w:ascii="Calibri" w:hAnsi="Calibri" w:eastAsia="Calibri" w:cs="Calibri"/>
          <w:b/>
        </w:rPr>
        <w:t xml:space="preserve">SÉPTIMA. ACEPTACIÓN DE ENTREGABLES: </w:t>
      </w:r>
      <w:r>
        <w:rPr>
          <w:rFonts w:ascii="Calibri" w:hAnsi="Calibri" w:eastAsia="Calibri" w:cs="Calibri"/>
        </w:rPr>
        <w:t xml:space="preserve">EL CLIENTE dispondrá de un plazo máximo de diez (10) días hábiles contados a partir de la entrega de cada hito para formular por escrito observaciones técnicas debidamente justificadas. Si transcurre dicho plazo sin observaciones, el entregable se entenderá aceptado tácitamente. Previo al cierre del proyecto, LAS PARTES adelantarán el período de dos (2) semanas de pruebas y estabilización previsto en la Cláusula Cuarta. En caso de presentarse observaciones dentro del plazo anterior, el cronograma del proyecto se ajustará razonablemente, sin que ello constituya incumplimiento de CAMPUSLANDS.</w:t>
      </w:r>
    </w:p>
    <w:p>
      <w:pPr>
        <w:pStyle w:val="Sinespaciado"/>
        <w:jc w:val="both"/>
      </w:pPr>
      <w:r>
        <w:rPr>
          <w:rFonts w:ascii="Calibri" w:hAnsi="Calibri" w:eastAsia="Calibri" w:cs="Calibri"/>
          <w:b/>
        </w:rPr>
        <w:t xml:space="preserve">OCTAVA. GARANTÍA: </w:t>
      </w:r>
      <w:r>
        <w:rPr>
          <w:rFonts w:ascii="Calibri" w:hAnsi="Calibri" w:eastAsia="Calibri" w:cs="Calibri"/>
        </w:rPr>
        <w:t xml:space="preserve">CAMPUSLANDS otorgará una garantía de treinta (30) días calendario posteriores a la puesta en producción (go-live) y aceptación de la plataforma mediante acta, sin costo adicional, limitada a la corrección de errores o fallas técnicas imputables directamente al desarrollo realizado por CAMPUSLANDS sobre el alcance entregado y aprobado. La garantía no cubrirá fallas derivadas de:</w:t>
      </w:r>
    </w:p>
    <w:p>
      <w:pPr>
        <w:pStyle w:val="Sinespaciado"/>
        <w:ind w:left="432" w:hanging="216"/>
        <w:jc w:val="both"/>
      </w:pPr>
      <w:r>
        <w:rPr>
          <w:rFonts w:ascii="Calibri" w:hAnsi="Calibri" w:eastAsia="Calibri" w:cs="Calibri"/>
          <w:b/>
        </w:rPr>
        <w:t>•</w:t>
        <w:tab/>
      </w:r>
      <w:r>
        <w:rPr>
          <w:rFonts w:ascii="Calibri" w:hAnsi="Calibri" w:eastAsia="Calibri" w:cs="Calibri"/>
        </w:rPr>
        <w:t xml:space="preserve">Cambios realizados por EL CLIENTE o terceros no autorizados.</w:t>
      </w:r>
    </w:p>
    <w:p>
      <w:pPr>
        <w:pStyle w:val="Sinespaciado"/>
        <w:ind w:left="432" w:hanging="216"/>
        <w:jc w:val="both"/>
      </w:pPr>
      <w:r>
        <w:rPr>
          <w:rFonts w:ascii="Calibri" w:hAnsi="Calibri" w:eastAsia="Calibri" w:cs="Calibri"/>
          <w:b/>
        </w:rPr>
        <w:t>•</w:t>
        <w:tab/>
      </w:r>
      <w:r>
        <w:rPr>
          <w:rFonts w:ascii="Calibri" w:hAnsi="Calibri" w:eastAsia="Calibri" w:cs="Calibri"/>
        </w:rPr>
        <w:t xml:space="preserve">Uso indebido, negligente, irregular o por fuera del alcance contratado.</w:t>
      </w:r>
    </w:p>
    <w:p>
      <w:pPr>
        <w:pStyle w:val="Sinespaciado"/>
        <w:ind w:left="432" w:hanging="216"/>
        <w:jc w:val="both"/>
      </w:pPr>
      <w:r>
        <w:rPr>
          <w:rFonts w:ascii="Calibri" w:hAnsi="Calibri" w:eastAsia="Calibri" w:cs="Calibri"/>
          <w:b/>
        </w:rPr>
        <w:t>•</w:t>
        <w:tab/>
      </w:r>
      <w:r>
        <w:rPr>
          <w:rFonts w:ascii="Calibri" w:hAnsi="Calibri" w:eastAsia="Calibri" w:cs="Calibri"/>
        </w:rPr>
        <w:t xml:space="preserve">Fallas de internet, dispositivos, cuentas, APIs (incluyendo el ERP Maía y Oracle), servicios cloud, licenciamiento de software de terceros o proveedores externos.</w:t>
      </w:r>
    </w:p>
    <w:p>
      <w:pPr>
        <w:pStyle w:val="Sinespaciado"/>
        <w:ind w:left="432" w:hanging="216"/>
        <w:jc w:val="both"/>
      </w:pPr>
      <w:r>
        <w:rPr>
          <w:rFonts w:ascii="Calibri" w:hAnsi="Calibri" w:eastAsia="Calibri" w:cs="Calibri"/>
          <w:b/>
        </w:rPr>
        <w:t>•</w:t>
        <w:tab/>
      </w:r>
      <w:r>
        <w:rPr>
          <w:rFonts w:ascii="Calibri" w:hAnsi="Calibri" w:eastAsia="Calibri" w:cs="Calibri"/>
        </w:rPr>
        <w:t xml:space="preserve">Cambios de políticas, restricciones o condiciones de terceros.</w:t>
      </w:r>
    </w:p>
    <w:p>
      <w:pPr>
        <w:pStyle w:val="Sinespaciado"/>
        <w:ind w:left="432" w:hanging="216"/>
        <w:jc w:val="both"/>
      </w:pPr>
      <w:r>
        <w:rPr>
          <w:rFonts w:ascii="Calibri" w:hAnsi="Calibri" w:eastAsia="Calibri" w:cs="Calibri"/>
          <w:b/>
        </w:rPr>
        <w:t>•</w:t>
        <w:tab/>
      </w:r>
      <w:r>
        <w:rPr>
          <w:rFonts w:ascii="Calibri" w:hAnsi="Calibri" w:eastAsia="Calibri" w:cs="Calibri"/>
        </w:rPr>
        <w:t xml:space="preserve">Carga, calidad, legalidad o suficiencia de la información suministrada por EL CLIENTE.</w:t>
      </w:r>
    </w:p>
    <w:p>
      <w:pPr>
        <w:pStyle w:val="Sinespaciado"/>
        <w:ind w:left="432" w:hanging="216"/>
        <w:jc w:val="both"/>
      </w:pPr>
      <w:r>
        <w:rPr>
          <w:rFonts w:ascii="Calibri" w:hAnsi="Calibri" w:eastAsia="Calibri" w:cs="Calibri"/>
          <w:b/>
        </w:rPr>
        <w:t>•</w:t>
        <w:tab/>
      </w:r>
      <w:r>
        <w:rPr>
          <w:rFonts w:ascii="Calibri" w:hAnsi="Calibri" w:eastAsia="Calibri" w:cs="Calibri"/>
        </w:rPr>
        <w:t xml:space="preserve">Nuevos requerimientos, mejoras, ampliaciones o cambios de alcance, incluyendo las funcionalidades marcadas como fases futuras.</w:t>
      </w:r>
    </w:p>
    <w:p>
      <w:pPr>
        <w:pStyle w:val="Sinespaciado"/>
        <w:jc w:val="both"/>
      </w:pPr>
      <w:r>
        <w:rPr>
          <w:rFonts w:ascii="Calibri" w:hAnsi="Calibri" w:eastAsia="Calibri" w:cs="Calibri"/>
          <w:b/>
        </w:rPr>
        <w:t xml:space="preserve">PARÁGRAFO. </w:t>
      </w:r>
      <w:r>
        <w:rPr>
          <w:rFonts w:ascii="Calibri" w:hAnsi="Calibri" w:eastAsia="Calibri" w:cs="Calibri"/>
        </w:rPr>
        <w:t xml:space="preserve">Las correcciones cubiertas por la garantía se limitan a restablecer el correcto funcionamiento de la plataforma entregada y no comprenden ajustes evolutivos, nuevas funcionalidades o ampliaciones de alcance.</w:t>
      </w:r>
    </w:p>
    <w:p>
      <w:pPr>
        <w:pStyle w:val="Sinespaciado"/>
        <w:jc w:val="both"/>
      </w:pPr>
      <w:r>
        <w:rPr>
          <w:rFonts w:ascii="Calibri" w:hAnsi="Calibri" w:eastAsia="Calibri" w:cs="Calibri"/>
          <w:b/>
        </w:rPr>
        <w:t xml:space="preserve">NOVENA. PROPIEDAD INTELECTUAL Y CESIÓN DE CÓDIGO FUENTE: </w:t>
      </w:r>
      <w:r>
        <w:rPr>
          <w:rFonts w:ascii="Calibri" w:hAnsi="Calibri" w:eastAsia="Calibri" w:cs="Calibri"/>
        </w:rPr>
        <w:t xml:space="preserve">En relación con los derechos de propiedad intelectual derivados del presente contrato, LAS PARTES acuerdan lo siguiente:</w:t>
      </w:r>
    </w:p>
    <w:p>
      <w:pPr>
        <w:pStyle w:val="Sinespaciado"/>
        <w:ind w:left="432" w:hanging="216"/>
        <w:jc w:val="both"/>
      </w:pPr>
      <w:r>
        <w:rPr>
          <w:rFonts w:ascii="Calibri" w:hAnsi="Calibri" w:eastAsia="Calibri" w:cs="Calibri"/>
          <w:b/>
        </w:rPr>
        <w:t>•</w:t>
        <w:tab/>
      </w:r>
      <w:r>
        <w:rPr>
          <w:rFonts w:ascii="Calibri" w:hAnsi="Calibri" w:eastAsia="Calibri" w:cs="Calibri"/>
        </w:rPr>
        <w:t xml:space="preserve">El código fuente desarrollado específicamente para EL CLIENTE en el marco del presente contrato será en su totalidad de propiedad de EL CLIENTE. CAMPUSLANDS se obliga a entregarlo completo, actualizado, funcional y documentado, junto con los manuales técnicos y funcionales necesarios para su operación, mantenimiento y evolución, sin restricciones técnicas, dependencias ocultas ni llaves de acceso no reveladas.</w:t>
      </w:r>
    </w:p>
    <w:p>
      <w:pPr>
        <w:pStyle w:val="Sinespaciado"/>
        <w:ind w:left="432" w:hanging="216"/>
        <w:jc w:val="both"/>
      </w:pPr>
      <w:r>
        <w:rPr>
          <w:rFonts w:ascii="Calibri" w:hAnsi="Calibri" w:eastAsia="Calibri" w:cs="Calibri"/>
          <w:b/>
        </w:rPr>
        <w:t>•</w:t>
        <w:tab/>
      </w:r>
      <w:r>
        <w:rPr>
          <w:rFonts w:ascii="Calibri" w:hAnsi="Calibri" w:eastAsia="Calibri" w:cs="Calibri"/>
        </w:rPr>
        <w:t xml:space="preserve">CAMPUSLANDS podrá conservar y reutilizar librerías, frameworks, módulos genéricos y componentes preexistentes o reutilizables que no contengan información de EL CLIENTE y que puedan operar de forma independiente de la plataforma entregada.</w:t>
      </w:r>
    </w:p>
    <w:p>
      <w:pPr>
        <w:pStyle w:val="Sinespaciado"/>
        <w:ind w:left="432" w:hanging="216"/>
        <w:jc w:val="both"/>
      </w:pPr>
      <w:r>
        <w:rPr>
          <w:rFonts w:ascii="Calibri" w:hAnsi="Calibri" w:eastAsia="Calibri" w:cs="Calibri"/>
          <w:b/>
        </w:rPr>
        <w:t>•</w:t>
        <w:tab/>
      </w:r>
      <w:r>
        <w:rPr>
          <w:rFonts w:ascii="Calibri" w:hAnsi="Calibri" w:eastAsia="Calibri" w:cs="Calibri"/>
        </w:rPr>
        <w:t xml:space="preserve">EL CLIENTE podrá usar, modificar y evolucionar el código sin restricción, directamente o por medio de terceros.</w:t>
      </w:r>
    </w:p>
    <w:p>
      <w:pPr>
        <w:pStyle w:val="Sinespaciado"/>
        <w:jc w:val="both"/>
      </w:pPr>
      <w:r>
        <w:rPr>
          <w:rFonts w:ascii="Calibri" w:hAnsi="Calibri" w:eastAsia="Calibri" w:cs="Calibri"/>
          <w:b/>
        </w:rPr>
        <w:t xml:space="preserve">PARÁGRAFO PRIMERO. </w:t>
      </w:r>
      <w:r>
        <w:rPr>
          <w:rFonts w:ascii="Calibri" w:hAnsi="Calibri" w:eastAsia="Calibri" w:cs="Calibri"/>
        </w:rPr>
        <w:t xml:space="preserve">CAMPUSLANDS cede a favor de EL CLIENTE, quien acepta, de manera total, exclusiva, irrevocable y definitiva, todos los derechos patrimoniales de autor sobre la plataforma desarrollada, incluyendo los derechos de reproducción, transformación, adaptación, distribución, comunicación pública, comercialización, puesta a disposición e integración con otros sistemas, para todo el territorio y por el término máximo de protección legal, conforme a la Ley 23 de 1982, la Decisión Andina 351 de 1993 y demás normas concordantes. La cesión se perfecciona a la suscripción del acta de entrega y aceptación final de la plataforma.</w:t>
      </w:r>
    </w:p>
    <w:p>
      <w:pPr>
        <w:pStyle w:val="Sinespaciado"/>
        <w:jc w:val="both"/>
      </w:pPr>
      <w:r>
        <w:rPr>
          <w:rFonts w:ascii="Calibri" w:hAnsi="Calibri" w:eastAsia="Calibri" w:cs="Calibri"/>
          <w:b/>
        </w:rPr>
        <w:t xml:space="preserve">PARÁGRAFO SEGUNDO. </w:t>
      </w:r>
      <w:r>
        <w:rPr>
          <w:rFonts w:ascii="Calibri" w:hAnsi="Calibri" w:eastAsia="Calibri" w:cs="Calibri"/>
        </w:rPr>
        <w:t xml:space="preserve">CAMPUSLANDS garantiza que la plataforma y sus componentes son originales o cuentan con las licencias necesarias para su uso y cesión, y que no infringen derechos de autor, secretos empresariales, licencias de software de terceros ni derechos de propiedad intelectual de ninguna naturaleza, incluyendo el uso de herramientas de inteligencia artificial como instrumento de apoyo técnico. CAMPUSLANDS mantendrá indemne a EL CLIENTE frente a cualquier reclamación derivada de la infracción de derechos de terceros relacionada con la plataforma.</w:t>
      </w:r>
    </w:p>
    <w:p>
      <w:pPr>
        <w:pStyle w:val="Sinespaciado"/>
        <w:jc w:val="both"/>
      </w:pPr>
      <w:r>
        <w:rPr>
          <w:rFonts w:ascii="Calibri" w:hAnsi="Calibri" w:eastAsia="Calibri" w:cs="Calibri"/>
          <w:b/>
        </w:rPr>
        <w:t xml:space="preserve">DÉCIMA. CONFIDENCIALIDAD: </w:t>
      </w:r>
      <w:r>
        <w:rPr>
          <w:rFonts w:ascii="Calibri" w:hAnsi="Calibri" w:eastAsia="Calibri" w:cs="Calibri"/>
        </w:rPr>
        <w:t xml:space="preserve">Toda la información técnica, operativa, financiera, comercial y estratégica intercambiada, generada, accedida o utilizada durante la ejecución del presente contrato será tratada como estrictamente confidencial por ambas partes, quienes se obligan a no divulgarla a terceros ni utilizarla para fines distintos a la ejecución del presente contrato, y a adoptar las medidas técnicas y organizativas necesarias para protegerla.</w:t>
      </w:r>
    </w:p>
    <w:p>
      <w:pPr>
        <w:pStyle w:val="Sinespaciado"/>
        <w:jc w:val="both"/>
      </w:pPr>
      <w:r>
        <w:rPr>
          <w:rFonts w:ascii="Calibri" w:hAnsi="Calibri" w:eastAsia="Calibri" w:cs="Calibri"/>
          <w:b/>
        </w:rPr>
        <w:t xml:space="preserve">PARÁGRAFO. </w:t>
      </w:r>
      <w:r>
        <w:rPr>
          <w:rFonts w:ascii="Calibri" w:hAnsi="Calibri" w:eastAsia="Calibri" w:cs="Calibri"/>
        </w:rPr>
        <w:t xml:space="preserve">La obligación de confidencialidad permanecerá vigente durante la ejecución del contrato y por un término de cinco (5) años contados desde su terminación, sin perjuicio de que la información que constituya secreto empresarial conserve reserva mientras mantenga tal naturaleza.</w:t>
      </w:r>
    </w:p>
    <w:p>
      <w:pPr>
        <w:pStyle w:val="Sinespaciado"/>
        <w:jc w:val="both"/>
      </w:pPr>
      <w:r>
        <w:rPr>
          <w:rFonts w:ascii="Calibri" w:hAnsi="Calibri" w:eastAsia="Calibri" w:cs="Calibri"/>
          <w:b/>
        </w:rPr>
        <w:t xml:space="preserve">DÉCIMA PRIMERA. OBLIGACIONES DE CAMPUSLANDS: </w:t>
      </w:r>
      <w:r>
        <w:rPr>
          <w:rFonts w:ascii="Calibri" w:hAnsi="Calibri" w:eastAsia="Calibri" w:cs="Calibri"/>
        </w:rPr>
        <w:t xml:space="preserve">En desarrollo del presente contrato, CAMPUSLANDS se obliga a:</w:t>
      </w:r>
    </w:p>
    <w:p>
      <w:pPr>
        <w:pStyle w:val="Sinespaciado"/>
        <w:ind w:left="432" w:hanging="216"/>
        <w:jc w:val="both"/>
      </w:pPr>
      <w:r>
        <w:rPr>
          <w:rFonts w:ascii="Calibri" w:hAnsi="Calibri" w:eastAsia="Calibri" w:cs="Calibri"/>
          <w:b/>
        </w:rPr>
        <w:t>•</w:t>
        <w:tab/>
      </w:r>
      <w:r>
        <w:rPr>
          <w:rFonts w:ascii="Calibri" w:hAnsi="Calibri" w:eastAsia="Calibri" w:cs="Calibri"/>
        </w:rPr>
        <w:t xml:space="preserve">Ejecutar el proyecto conforme al alcance, fases y cronograma descritos en este contrato, bajo metodología ágil con sprints quincenales.</w:t>
      </w:r>
    </w:p>
    <w:p>
      <w:pPr>
        <w:pStyle w:val="Sinespaciado"/>
        <w:ind w:left="432" w:hanging="216"/>
        <w:jc w:val="both"/>
      </w:pPr>
      <w:r>
        <w:rPr>
          <w:rFonts w:ascii="Calibri" w:hAnsi="Calibri" w:eastAsia="Calibri" w:cs="Calibri"/>
          <w:b/>
        </w:rPr>
        <w:t>•</w:t>
        <w:tab/>
      </w:r>
      <w:r>
        <w:rPr>
          <w:rFonts w:ascii="Calibri" w:hAnsi="Calibri" w:eastAsia="Calibri" w:cs="Calibri"/>
        </w:rPr>
        <w:t xml:space="preserve">Convocar y liderar la reunión de Kick-off y los comités de seguimiento quincenales para revisar avance, riesgos y próximos pasos.</w:t>
      </w:r>
    </w:p>
    <w:p>
      <w:pPr>
        <w:pStyle w:val="Sinespaciado"/>
        <w:ind w:left="432" w:hanging="216"/>
        <w:jc w:val="both"/>
      </w:pPr>
      <w:r>
        <w:rPr>
          <w:rFonts w:ascii="Calibri" w:hAnsi="Calibri" w:eastAsia="Calibri" w:cs="Calibri"/>
          <w:b/>
        </w:rPr>
        <w:t>•</w:t>
        <w:tab/>
      </w:r>
      <w:r>
        <w:rPr>
          <w:rFonts w:ascii="Calibri" w:hAnsi="Calibri" w:eastAsia="Calibri" w:cs="Calibri"/>
        </w:rPr>
        <w:t xml:space="preserve">Desarrollar, integrar y entregar la plataforma en estado operativo y funcional, conforme a los criterios de aceptación de la Cláusula Séptima.</w:t>
      </w:r>
    </w:p>
    <w:p>
      <w:pPr>
        <w:pStyle w:val="Sinespaciado"/>
        <w:ind w:left="432" w:hanging="216"/>
        <w:jc w:val="both"/>
      </w:pPr>
      <w:r>
        <w:rPr>
          <w:rFonts w:ascii="Calibri" w:hAnsi="Calibri" w:eastAsia="Calibri" w:cs="Calibri"/>
          <w:b/>
        </w:rPr>
        <w:t>•</w:t>
        <w:tab/>
      </w:r>
      <w:r>
        <w:rPr>
          <w:rFonts w:ascii="Calibri" w:hAnsi="Calibri" w:eastAsia="Calibri" w:cs="Calibri"/>
        </w:rPr>
        <w:t xml:space="preserve">Designar un equipo dedicado bajo el modelo Campers (Product Manager, Líder Técnico/Arquitecto, Diseñador UI/UX, Desarrollador Frontend, Desarrollador Backend, Ingeniero Backend y Agentes de IA, Ingeniero DevOps, Tester QA y responsable de Implementación y Capacitación).</w:t>
      </w:r>
    </w:p>
    <w:p>
      <w:pPr>
        <w:pStyle w:val="Sinespaciado"/>
        <w:ind w:left="432" w:hanging="216"/>
        <w:jc w:val="both"/>
      </w:pPr>
      <w:r>
        <w:rPr>
          <w:rFonts w:ascii="Calibri" w:hAnsi="Calibri" w:eastAsia="Calibri" w:cs="Calibri"/>
          <w:b/>
        </w:rPr>
        <w:t>•</w:t>
        <w:tab/>
      </w:r>
      <w:r>
        <w:rPr>
          <w:rFonts w:ascii="Calibri" w:hAnsi="Calibri" w:eastAsia="Calibri" w:cs="Calibri"/>
        </w:rPr>
        <w:t xml:space="preserve">Documentar el control de cambios ante cualquier ajuste de alcance.</w:t>
      </w:r>
    </w:p>
    <w:p>
      <w:pPr>
        <w:pStyle w:val="Sinespaciado"/>
        <w:ind w:left="432" w:hanging="216"/>
        <w:jc w:val="both"/>
      </w:pPr>
      <w:r>
        <w:rPr>
          <w:rFonts w:ascii="Calibri" w:hAnsi="Calibri" w:eastAsia="Calibri" w:cs="Calibri"/>
          <w:b/>
        </w:rPr>
        <w:t>•</w:t>
        <w:tab/>
      </w:r>
      <w:r>
        <w:rPr>
          <w:rFonts w:ascii="Calibri" w:hAnsi="Calibri" w:eastAsia="Calibri" w:cs="Calibri"/>
        </w:rPr>
        <w:t xml:space="preserve">Capacitar al personal designado por EL CLIENTE mediante dos (2) sesiones de capacitación documentadas, con posibilidad de una tercera (3.ª) sesión adicional en caso de ser necesario.</w:t>
      </w:r>
    </w:p>
    <w:p>
      <w:pPr>
        <w:pStyle w:val="Sinespaciado"/>
        <w:ind w:left="432" w:hanging="216"/>
        <w:jc w:val="both"/>
      </w:pPr>
      <w:r>
        <w:rPr>
          <w:rFonts w:ascii="Calibri" w:hAnsi="Calibri" w:eastAsia="Calibri" w:cs="Calibri"/>
          <w:b/>
        </w:rPr>
        <w:t>•</w:t>
        <w:tab/>
      </w:r>
      <w:r>
        <w:rPr>
          <w:rFonts w:ascii="Calibri" w:hAnsi="Calibri" w:eastAsia="Calibri" w:cs="Calibri"/>
        </w:rPr>
        <w:t xml:space="preserve">Entregar los manuales técnicos y operativos y la documentación funcional y de arquitectura de la plataforma.</w:t>
      </w:r>
    </w:p>
    <w:p>
      <w:pPr>
        <w:pStyle w:val="Sinespaciado"/>
        <w:ind w:left="432" w:hanging="216"/>
        <w:jc w:val="both"/>
      </w:pPr>
      <w:r>
        <w:rPr>
          <w:rFonts w:ascii="Calibri" w:hAnsi="Calibri" w:eastAsia="Calibri" w:cs="Calibri"/>
          <w:b/>
        </w:rPr>
        <w:t>•</w:t>
        <w:tab/>
      </w:r>
      <w:r>
        <w:rPr>
          <w:rFonts w:ascii="Calibri" w:hAnsi="Calibri" w:eastAsia="Calibri" w:cs="Calibri"/>
        </w:rPr>
        <w:t xml:space="preserve">Prestar la garantía prevista en la Cláusula Octava.</w:t>
      </w:r>
    </w:p>
    <w:p>
      <w:pPr>
        <w:pStyle w:val="Sinespaciado"/>
        <w:ind w:left="432" w:hanging="216"/>
        <w:jc w:val="both"/>
      </w:pPr>
      <w:r>
        <w:rPr>
          <w:rFonts w:ascii="Calibri" w:hAnsi="Calibri" w:eastAsia="Calibri" w:cs="Calibri"/>
          <w:b/>
        </w:rPr>
        <w:t>•</w:t>
        <w:tab/>
      </w:r>
      <w:r>
        <w:rPr>
          <w:rFonts w:ascii="Calibri" w:hAnsi="Calibri" w:eastAsia="Calibri" w:cs="Calibri"/>
        </w:rPr>
        <w:t xml:space="preserve">Guardar confidencialidad sobre la información de EL CLIENTE conforme a la Cláusula Décima.</w:t>
      </w:r>
    </w:p>
    <w:p>
      <w:pPr>
        <w:pStyle w:val="Sinespaciado"/>
        <w:jc w:val="both"/>
      </w:pPr>
      <w:r>
        <w:rPr>
          <w:rFonts w:ascii="Calibri" w:hAnsi="Calibri" w:eastAsia="Calibri" w:cs="Calibri"/>
          <w:b/>
        </w:rPr>
        <w:t xml:space="preserve">DÉCIMA SEGUNDA. OBLIGACIONES DE EL CLIENTE: </w:t>
      </w:r>
      <w:r>
        <w:rPr>
          <w:rFonts w:ascii="Calibri" w:hAnsi="Calibri" w:eastAsia="Calibri" w:cs="Calibri"/>
        </w:rPr>
        <w:t xml:space="preserve">En desarrollo del presente contrato, EL CLIENTE se obliga a:</w:t>
      </w:r>
    </w:p>
    <w:p>
      <w:pPr>
        <w:pStyle w:val="Sinespaciado"/>
        <w:ind w:left="432" w:hanging="216"/>
        <w:jc w:val="both"/>
      </w:pPr>
      <w:r>
        <w:rPr>
          <w:rFonts w:ascii="Calibri" w:hAnsi="Calibri" w:eastAsia="Calibri" w:cs="Calibri"/>
          <w:b/>
        </w:rPr>
        <w:t>•</w:t>
        <w:tab/>
      </w:r>
      <w:r>
        <w:rPr>
          <w:rFonts w:ascii="Calibri" w:hAnsi="Calibri" w:eastAsia="Calibri" w:cs="Calibri"/>
        </w:rPr>
        <w:t xml:space="preserve">Facilitar a CAMPUSLANDS los accesos a las APIs del ERP Maía y de Oracle, así como los archivos Excel y los maestros de arriendos requeridos para la ingesta de información.</w:t>
      </w:r>
    </w:p>
    <w:p>
      <w:pPr>
        <w:pStyle w:val="Sinespaciado"/>
        <w:ind w:left="432" w:hanging="216"/>
        <w:jc w:val="both"/>
      </w:pPr>
      <w:r>
        <w:rPr>
          <w:rFonts w:ascii="Calibri" w:hAnsi="Calibri" w:eastAsia="Calibri" w:cs="Calibri"/>
          <w:b/>
        </w:rPr>
        <w:t>•</w:t>
        <w:tab/>
      </w:r>
      <w:r>
        <w:rPr>
          <w:rFonts w:ascii="Calibri" w:hAnsi="Calibri" w:eastAsia="Calibri" w:cs="Calibri"/>
        </w:rPr>
        <w:t xml:space="preserve">Proporcionar a CAMPUSLANDS, de manera completa, veraz y oportuna, la información financiera, contable y operativa necesaria para el desarrollo de la plataforma.</w:t>
      </w:r>
    </w:p>
    <w:p>
      <w:pPr>
        <w:pStyle w:val="Sinespaciado"/>
        <w:ind w:left="432" w:hanging="216"/>
        <w:jc w:val="both"/>
      </w:pPr>
      <w:r>
        <w:rPr>
          <w:rFonts w:ascii="Calibri" w:hAnsi="Calibri" w:eastAsia="Calibri" w:cs="Calibri"/>
          <w:b/>
        </w:rPr>
        <w:t>•</w:t>
        <w:tab/>
      </w:r>
      <w:r>
        <w:rPr>
          <w:rFonts w:ascii="Calibri" w:hAnsi="Calibri" w:eastAsia="Calibri" w:cs="Calibri"/>
        </w:rPr>
        <w:t xml:space="preserve">Colaborar de manera diligente y continua durante todas las fases del proyecto, atendiendo oportunamente los requerimientos de aclaración, revisión, validación y pruebas funcionales.</w:t>
      </w:r>
    </w:p>
    <w:p>
      <w:pPr>
        <w:pStyle w:val="Sinespaciado"/>
        <w:ind w:left="432" w:hanging="216"/>
        <w:jc w:val="both"/>
      </w:pPr>
      <w:r>
        <w:rPr>
          <w:rFonts w:ascii="Calibri" w:hAnsi="Calibri" w:eastAsia="Calibri" w:cs="Calibri"/>
          <w:b/>
        </w:rPr>
        <w:t>•</w:t>
        <w:tab/>
      </w:r>
      <w:r>
        <w:rPr>
          <w:rFonts w:ascii="Calibri" w:hAnsi="Calibri" w:eastAsia="Calibri" w:cs="Calibri"/>
        </w:rPr>
        <w:t xml:space="preserve">Efectuar los pagos en los términos y plazos pactados en la Cláusula Sexta.</w:t>
      </w:r>
    </w:p>
    <w:p>
      <w:pPr>
        <w:pStyle w:val="Sinespaciado"/>
        <w:ind w:left="432" w:hanging="216"/>
        <w:jc w:val="both"/>
      </w:pPr>
      <w:r>
        <w:rPr>
          <w:rFonts w:ascii="Calibri" w:hAnsi="Calibri" w:eastAsia="Calibri" w:cs="Calibri"/>
          <w:b/>
        </w:rPr>
        <w:t>•</w:t>
        <w:tab/>
      </w:r>
      <w:r>
        <w:rPr>
          <w:rFonts w:ascii="Calibri" w:hAnsi="Calibri" w:eastAsia="Calibri" w:cs="Calibri"/>
        </w:rPr>
        <w:t xml:space="preserve">Designar un interlocutor responsable con capacidad de decisión, que participe en el comité de seguimiento quincenal y actúe como canal oficial de comunicación con CAMPUSLANDS.</w:t>
      </w:r>
    </w:p>
    <w:p>
      <w:pPr>
        <w:pStyle w:val="Sinespaciado"/>
        <w:ind w:left="432" w:hanging="216"/>
        <w:jc w:val="both"/>
      </w:pPr>
      <w:r>
        <w:rPr>
          <w:rFonts w:ascii="Calibri" w:hAnsi="Calibri" w:eastAsia="Calibri" w:cs="Calibri"/>
          <w:b/>
        </w:rPr>
        <w:t>•</w:t>
        <w:tab/>
      </w:r>
      <w:r>
        <w:rPr>
          <w:rFonts w:ascii="Calibri" w:hAnsi="Calibri" w:eastAsia="Calibri" w:cs="Calibri"/>
        </w:rPr>
        <w:t xml:space="preserve">Asegurar la disponibilidad, calidad y accesibilidad de las fuentes de datos, así como de la infraestructura, conectividad y licencias de software de terceros bajo su control necesarias para la integración e implementación de la plataforma.</w:t>
      </w:r>
    </w:p>
    <w:p>
      <w:pPr>
        <w:pStyle w:val="Sinespaciado"/>
        <w:ind w:left="432" w:hanging="216"/>
        <w:jc w:val="both"/>
      </w:pPr>
      <w:r>
        <w:rPr>
          <w:rFonts w:ascii="Calibri" w:hAnsi="Calibri" w:eastAsia="Calibri" w:cs="Calibri"/>
          <w:b/>
        </w:rPr>
        <w:t>•</w:t>
        <w:tab/>
      </w:r>
      <w:r>
        <w:rPr>
          <w:rFonts w:ascii="Calibri" w:hAnsi="Calibri" w:eastAsia="Calibri" w:cs="Calibri"/>
        </w:rPr>
        <w:t xml:space="preserve">Designar al personal que participará en las sesiones de capacitación, garantizando su disponibilidad en las fechas programadas.</w:t>
      </w:r>
    </w:p>
    <w:p>
      <w:pPr>
        <w:pStyle w:val="Sinespaciado"/>
        <w:jc w:val="both"/>
      </w:pPr>
      <w:r>
        <w:rPr>
          <w:rFonts w:ascii="Calibri" w:hAnsi="Calibri" w:eastAsia="Calibri" w:cs="Calibri"/>
          <w:b/>
        </w:rPr>
        <w:t xml:space="preserve">DÉCIMA TERCERA. INDEPENDENCIA DE LAS PARTES: </w:t>
      </w:r>
      <w:r>
        <w:rPr>
          <w:rFonts w:ascii="Calibri" w:hAnsi="Calibri" w:eastAsia="Calibri" w:cs="Calibri"/>
        </w:rPr>
        <w:t xml:space="preserve">El presente contrato tiene carácter estrictamente civil y comercial, y en ningún caso se entenderá que genera vínculo laboral alguno entre EL CLIENTE y CAMPUSLANDS, ni entre EL CLIENTE y el personal, subcontratistas, colaboradores o terceros vinculados por CAMPUSLANDS para la ejecución del objeto contractual.</w:t>
      </w:r>
    </w:p>
    <w:p>
      <w:pPr>
        <w:pStyle w:val="Sinespaciado"/>
        <w:jc w:val="both"/>
      </w:pPr>
      <w:r>
        <w:rPr>
          <w:rFonts w:ascii="Calibri" w:hAnsi="Calibri" w:eastAsia="Calibri" w:cs="Calibri"/>
          <w:b/>
        </w:rPr>
        <w:t xml:space="preserve">DÉCIMA CUARTA. TRATAMIENTO DE DATOS PERSONALES: </w:t>
      </w:r>
      <w:r>
        <w:rPr>
          <w:rFonts w:ascii="Calibri" w:hAnsi="Calibri" w:eastAsia="Calibri" w:cs="Calibri"/>
        </w:rPr>
        <w:t xml:space="preserve">Ambas partes se comprometen a cumplir las disposiciones de la Ley 1581 de 2012 y el Decreto 1377 de 2013 en materia de protección de datos personales. EL CLIENTE actuará como Responsable del Tratamiento de los datos personales tratados en el marco de su operación. Cuando CAMPUSLANDS acceda o procese datos personales por cuenta de EL CLIENTE, lo hará en calidad de Encargado del Tratamiento, comprometiéndose a implementar las medidas técnicas, humanas y administrativas necesarias para garantizar su seguridad, confidencialidad e integridad, y a utilizarlos únicamente para los fines autorizados por EL CLIENTE.</w:t>
      </w:r>
    </w:p>
    <w:p>
      <w:pPr>
        <w:pStyle w:val="Sinespaciado"/>
        <w:jc w:val="both"/>
      </w:pPr>
      <w:r>
        <w:rPr>
          <w:rFonts w:ascii="Calibri" w:hAnsi="Calibri" w:eastAsia="Calibri" w:cs="Calibri"/>
          <w:b/>
        </w:rPr>
        <w:t xml:space="preserve">DÉCIMA QUINTA. TERMINACIÓN: </w:t>
      </w:r>
      <w:r>
        <w:rPr>
          <w:rFonts w:ascii="Calibri" w:hAnsi="Calibri" w:eastAsia="Calibri" w:cs="Calibri"/>
        </w:rPr>
        <w:t xml:space="preserve">El presente contrato podrá terminarse anticipadamente por:</w:t>
      </w:r>
    </w:p>
    <w:p>
      <w:pPr>
        <w:pStyle w:val="Sinespaciado"/>
        <w:ind w:left="432" w:hanging="216"/>
        <w:jc w:val="both"/>
      </w:pPr>
      <w:r>
        <w:rPr>
          <w:rFonts w:ascii="Calibri" w:hAnsi="Calibri" w:eastAsia="Calibri" w:cs="Calibri"/>
          <w:b/>
        </w:rPr>
        <w:t>•</w:t>
        <w:tab/>
      </w:r>
      <w:r>
        <w:rPr>
          <w:rFonts w:ascii="Calibri" w:hAnsi="Calibri" w:eastAsia="Calibri" w:cs="Calibri"/>
        </w:rPr>
        <w:t xml:space="preserve">Mutuo acuerdo entre las partes, mediante acta suscrita por sus representantes legales.</w:t>
      </w:r>
    </w:p>
    <w:p>
      <w:pPr>
        <w:pStyle w:val="Sinespaciado"/>
        <w:ind w:left="432" w:hanging="216"/>
        <w:jc w:val="both"/>
      </w:pPr>
      <w:r>
        <w:rPr>
          <w:rFonts w:ascii="Calibri" w:hAnsi="Calibri" w:eastAsia="Calibri" w:cs="Calibri"/>
          <w:b/>
        </w:rPr>
        <w:t>•</w:t>
        <w:tab/>
      </w:r>
      <w:r>
        <w:rPr>
          <w:rFonts w:ascii="Calibri" w:hAnsi="Calibri" w:eastAsia="Calibri" w:cs="Calibri"/>
        </w:rPr>
        <w:t xml:space="preserve">Incumplimiento grave de las obligaciones esenciales de cualquiera de las partes, no subsanado dentro de los diez (10) días hábiles siguientes al requerimiento escrito.</w:t>
      </w:r>
    </w:p>
    <w:p>
      <w:pPr>
        <w:pStyle w:val="Sinespaciado"/>
        <w:ind w:left="432" w:hanging="216"/>
        <w:jc w:val="both"/>
      </w:pPr>
      <w:r>
        <w:rPr>
          <w:rFonts w:ascii="Calibri" w:hAnsi="Calibri" w:eastAsia="Calibri" w:cs="Calibri"/>
          <w:b/>
        </w:rPr>
        <w:t>•</w:t>
        <w:tab/>
      </w:r>
      <w:r>
        <w:rPr>
          <w:rFonts w:ascii="Calibri" w:hAnsi="Calibri" w:eastAsia="Calibri" w:cs="Calibri"/>
        </w:rPr>
        <w:t xml:space="preserve">Mora superior a treinta (30) días calendario en el pago de las obligaciones económicas a cargo de EL CLIENTE.</w:t>
      </w:r>
    </w:p>
    <w:p>
      <w:pPr>
        <w:pStyle w:val="Sinespaciado"/>
        <w:ind w:left="432" w:hanging="216"/>
        <w:jc w:val="both"/>
      </w:pPr>
      <w:r>
        <w:rPr>
          <w:rFonts w:ascii="Calibri" w:hAnsi="Calibri" w:eastAsia="Calibri" w:cs="Calibri"/>
          <w:b/>
        </w:rPr>
        <w:t>•</w:t>
        <w:tab/>
      </w:r>
      <w:r>
        <w:rPr>
          <w:rFonts w:ascii="Calibri" w:hAnsi="Calibri" w:eastAsia="Calibri" w:cs="Calibri"/>
        </w:rPr>
        <w:t xml:space="preserve">Imposibilidad legal o técnica sobreviniente para cumplir con el objeto del contrato.</w:t>
      </w:r>
    </w:p>
    <w:p>
      <w:pPr>
        <w:pStyle w:val="Sinespaciado"/>
        <w:ind w:left="432" w:hanging="216"/>
        <w:jc w:val="both"/>
      </w:pPr>
      <w:r>
        <w:rPr>
          <w:rFonts w:ascii="Calibri" w:hAnsi="Calibri" w:eastAsia="Calibri" w:cs="Calibri"/>
          <w:b/>
        </w:rPr>
        <w:t>•</w:t>
        <w:tab/>
      </w:r>
      <w:r>
        <w:rPr>
          <w:rFonts w:ascii="Calibri" w:hAnsi="Calibri" w:eastAsia="Calibri" w:cs="Calibri"/>
        </w:rPr>
        <w:t xml:space="preserve">Orden de autoridad competente.</w:t>
      </w:r>
    </w:p>
    <w:p>
      <w:pPr>
        <w:pStyle w:val="Sinespaciado"/>
        <w:jc w:val="both"/>
      </w:pPr>
      <w:r>
        <w:rPr>
          <w:rFonts w:ascii="Calibri" w:hAnsi="Calibri" w:eastAsia="Calibri" w:cs="Calibri"/>
          <w:b/>
        </w:rPr>
        <w:t xml:space="preserve">PARÁGRAFO. </w:t>
      </w:r>
      <w:r>
        <w:rPr>
          <w:rFonts w:ascii="Calibri" w:hAnsi="Calibri" w:eastAsia="Calibri" w:cs="Calibri"/>
        </w:rPr>
        <w:t xml:space="preserve">La terminación no afectará las sumas causadas, los pagos pendientes ni las obligaciones de confidencialidad y propiedad intelectual, las cuales permanecerán vigentes conforme a lo pactado en este contrato.</w:t>
      </w:r>
    </w:p>
    <w:p>
      <w:pPr>
        <w:pStyle w:val="Sinespaciado"/>
        <w:jc w:val="both"/>
      </w:pPr>
      <w:r>
        <w:rPr>
          <w:rFonts w:ascii="Calibri" w:hAnsi="Calibri" w:eastAsia="Calibri" w:cs="Calibri"/>
          <w:b/>
        </w:rPr>
        <w:t xml:space="preserve">DÉCIMA SEXTA. FUERZA MAYOR Y CASO FORTUITO: </w:t>
      </w:r>
      <w:r>
        <w:rPr>
          <w:rFonts w:ascii="Calibri" w:hAnsi="Calibri" w:eastAsia="Calibri" w:cs="Calibri"/>
        </w:rPr>
        <w:t xml:space="preserve">Ninguna de LAS PARTES será responsable por incumplimientos derivados de fuerza mayor, caso fortuito, fallas generalizadas de internet, ataques informáticos, bloqueos o indisponibilidades de proveedores tecnológicos (incluyendo el ERP Maía y Oracle), cambios regulatorios o cualquier hecho externo, irresistible e imprevisible que impida total o parcialmente la ejecución del contrato. La parte afectada deberá informar a la otra dentro de los cinco (5) días calendario siguientes a la ocurrencia del evento y adoptar medidas razonables para mitigar sus efectos. Las obligaciones quedarán suspendidas mientras dure el evento, sin que ello constituya incumplimiento para ninguna de las partes.</w:t>
      </w:r>
    </w:p>
    <w:p>
      <w:pPr>
        <w:pStyle w:val="Sinespaciado"/>
        <w:jc w:val="both"/>
      </w:pPr>
      <w:r>
        <w:rPr>
          <w:rFonts w:ascii="Calibri" w:hAnsi="Calibri" w:eastAsia="Calibri" w:cs="Calibri"/>
          <w:b/>
        </w:rPr>
        <w:t xml:space="preserve">DÉCIMA SÉPTIMA. CLÁUSULA PENAL: </w:t>
      </w:r>
      <w:r>
        <w:rPr>
          <w:rFonts w:ascii="Calibri" w:hAnsi="Calibri" w:eastAsia="Calibri" w:cs="Calibri"/>
        </w:rPr>
        <w:t xml:space="preserve">En caso de incumplimiento grave de cualquiera de LAS PARTES, la parte incumplida deberá pagar a la parte cumplida, a título de cláusula penal, una suma equivalente al diez por ciento (10%) del valor total del contrato, sin perjuicio de que la parte cumplida pueda exigir el cumplimiento de la obligación principal o la terminación del contrato. La cláusula penal solo procederá frente a incumplimientos graves, materiales y directamente atribuibles a la parte incumplida, previa notificación escrita y oportunidad razonable de subsanación.</w:t>
      </w:r>
    </w:p>
    <w:p>
      <w:pPr>
        <w:pStyle w:val="Sinespaciado"/>
        <w:jc w:val="both"/>
      </w:pPr>
      <w:r>
        <w:rPr>
          <w:rFonts w:ascii="Calibri" w:hAnsi="Calibri" w:eastAsia="Calibri" w:cs="Calibri"/>
          <w:b/>
        </w:rPr>
        <w:t xml:space="preserve">DÉCIMA OCTAVA. VIGENCIA: </w:t>
      </w:r>
      <w:r>
        <w:rPr>
          <w:rFonts w:ascii="Calibri" w:hAnsi="Calibri" w:eastAsia="Calibri" w:cs="Calibri"/>
        </w:rPr>
        <w:t xml:space="preserve">El presente contrato tendrá una vigencia igual al término requerido para la ejecución de las fases descritas en la Cláusula Cuarta, más el período de garantía previsto en la Cláusula Octava.</w:t>
      </w:r>
    </w:p>
    <w:p>
      <w:pPr>
        <w:pStyle w:val="Sinespaciado"/>
        <w:jc w:val="both"/>
      </w:pPr>
      <w:r>
        <w:rPr>
          <w:rFonts w:ascii="Calibri" w:hAnsi="Calibri" w:eastAsia="Calibri" w:cs="Calibri"/>
          <w:b/>
        </w:rPr>
        <w:t xml:space="preserve">DÉCIMA NOVENA. LEY APLICABLE Y SOLUCIÓN DE CONTROVERSIAS: </w:t>
      </w:r>
      <w:r>
        <w:rPr>
          <w:rFonts w:ascii="Calibri" w:hAnsi="Calibri" w:eastAsia="Calibri" w:cs="Calibri"/>
        </w:rPr>
        <w:t xml:space="preserve">El presente contrato se regirá por las leyes de la República de Colombia. LAS PARTES procurarán resolver cualquier diferencia mediante arreglo directo dentro de los diez (10) días hábiles siguientes a la notificación escrita de la controversia. Si no fuere posible llegar a un acuerdo, LAS PARTES podrán acudir a conciliación extrajudicial en derecho ante un centro de conciliación autorizado. De persistir la controversia, será competente la jurisdicción ordinaria colombiana.</w:t>
      </w:r>
    </w:p>
    <w:p>
      <w:pPr>
        <w:pStyle w:val="Sinespaciado"/>
        <w:jc w:val="both"/>
      </w:pPr>
      <w:r>
        <w:rPr>
          <w:rFonts w:ascii="Calibri" w:hAnsi="Calibri" w:eastAsia="Calibri" w:cs="Calibri"/>
          <w:b/>
        </w:rPr>
        <w:t xml:space="preserve">VIGÉSIMA. DECLARACIÓN FINAL: </w:t>
      </w:r>
      <w:r>
        <w:rPr>
          <w:rFonts w:ascii="Calibri" w:hAnsi="Calibri" w:eastAsia="Calibri" w:cs="Calibri"/>
        </w:rPr>
        <w:t xml:space="preserve">LAS PARTES manifiestan haber leído detenidamente, comprendido y aceptado en su integridad el contenido del presente contrato, encontrándolo conforme a su voluntad y libre manifestación de consentimiento. El presente contrato se complementa con el Acuerdo de Aceptación de Inicio de Desarrollo suscrito por LAS PARTES, el cual formaliza el inicio de la ejecución del proyecto y hace parte integral de este documento. Para todos los efectos legales, LAS PARTES reconocen como válidas y plenamente vinculantes las firmas digitales, electrónicas y/o escaneadas que se incorporen al presente documento, conforme a la legislación vigente.</w:t>
      </w:r>
    </w:p>
    <w:p>
      <w:pPr>
        <w:pStyle w:val="Sinespaciado"/>
        <w:jc w:val="both"/>
      </w:pPr>
      <w:r>
        <w:rPr>
          <w:rFonts w:ascii="Calibri" w:hAnsi="Calibri" w:eastAsia="Calibri" w:cs="Calibri"/>
        </w:rPr>
        <w:t xml:space="preserve">En constancia de lo anterior, se firma en dos (2) ejemplares del mismo tenor, en la ciudad de Floridablanca, Santander, a los ____ días del mes de ____________ de 2026.</w:t>
      </w:r>
    </w:p>
    <w:tbl>
      <w:tblPr>
        <w:tblW w:type="auto" w:w="0"/>
        <w:tblLayout w:type="autofit"/>
        <w:tblLook w:firstColumn="1" w:firstRow="1" w:lastColumn="0" w:lastRow="0" w:noHBand="0" w:noVBand="1" w:val="04A0"/>
      </w:tblPr>
      <w:tblGrid>
        <w:gridCol w:w="4382"/>
        <w:gridCol w:w="4382"/>
      </w:tblGrid>
      <w:tr>
        <w:tc>
          <w:tcPr>
            <w:tcW w:type="dxa" w:w="4382"/>
          </w:tcPr>
          <w:p>
            <w:r>
              <w:rPr>
                <w:rFonts w:ascii="Calibri" w:hAnsi="Calibri" w:eastAsia="Calibri" w:cs="Calibri"/>
                <w:b w:val="0"/>
              </w:rPr>
              <w:t>EL CONTRATISTA,</w:t>
            </w:r>
          </w:p>
          <w:p>
            <w:pPr>
              <w:pStyle w:val="Sinespaciado"/>
            </w:pPr>
          </w:p>
          <w:p>
            <w:pPr>
              <w:pStyle w:val="Sinespaciado"/>
            </w:pPr>
          </w:p>
          <w:p>
            <w:pPr>
              <w:pStyle w:val="Sinespaciado"/>
            </w:pPr>
          </w:p>
          <w:p>
            <w:pPr>
              <w:pStyle w:val="Sinespaciado"/>
              <w:pBdr>
                <w:bottom w:val="single" w:sz="6" w:space="1" w:color="000000"/>
              </w:pBdr>
            </w:pPr>
          </w:p>
          <w:p>
            <w:pPr>
              <w:pStyle w:val="Sinespaciado"/>
            </w:pPr>
            <w:r>
              <w:rPr>
                <w:rFonts w:ascii="Calibri" w:hAnsi="Calibri" w:eastAsia="Calibri" w:cs="Calibri"/>
                <w:b/>
              </w:rPr>
              <w:t>YESENIA MERCHÁN PINZÓN</w:t>
            </w:r>
          </w:p>
          <w:p>
            <w:pPr>
              <w:pStyle w:val="Sinespaciado"/>
            </w:pPr>
            <w:r>
              <w:rPr>
                <w:rFonts w:ascii="Calibri" w:hAnsi="Calibri" w:eastAsia="Calibri" w:cs="Calibri"/>
                <w:b w:val="0"/>
              </w:rPr>
              <w:t>CC No. 1.065.866.676</w:t>
            </w:r>
          </w:p>
          <w:p>
            <w:pPr>
              <w:pStyle w:val="Sinespaciado"/>
            </w:pPr>
            <w:r>
              <w:rPr>
                <w:rFonts w:ascii="Calibri" w:hAnsi="Calibri" w:eastAsia="Calibri" w:cs="Calibri"/>
                <w:b w:val="0"/>
              </w:rPr>
              <w:t>Representante Legal</w:t>
            </w:r>
          </w:p>
          <w:p>
            <w:pPr>
              <w:pStyle w:val="Sinespaciado"/>
            </w:pPr>
            <w:r>
              <w:rPr>
                <w:rFonts w:ascii="Calibri" w:hAnsi="Calibri" w:eastAsia="Calibri" w:cs="Calibri"/>
                <w:b/>
              </w:rPr>
              <w:t>CAMPUSLANDS S.A.S. BIC</w:t>
            </w:r>
          </w:p>
        </w:tc>
        <w:tc>
          <w:tcPr>
            <w:tcW w:type="dxa" w:w="4382"/>
          </w:tcPr>
          <w:p>
            <w:r>
              <w:rPr>
                <w:rFonts w:ascii="Calibri" w:hAnsi="Calibri" w:eastAsia="Calibri" w:cs="Calibri"/>
                <w:b w:val="0"/>
              </w:rPr>
              <w:t>EL CLIENTE,</w:t>
            </w:r>
          </w:p>
          <w:p>
            <w:pPr>
              <w:pStyle w:val="Sinespaciado"/>
            </w:pPr>
          </w:p>
          <w:p>
            <w:pPr>
              <w:pStyle w:val="Sinespaciado"/>
            </w:pPr>
          </w:p>
          <w:p>
            <w:pPr>
              <w:pStyle w:val="Sinespaciado"/>
            </w:pPr>
          </w:p>
          <w:p>
            <w:pPr>
              <w:pStyle w:val="Sinespaciado"/>
              <w:pBdr>
                <w:bottom w:val="single" w:sz="6" w:space="1" w:color="000000"/>
              </w:pBdr>
            </w:pPr>
          </w:p>
          <w:p>
            <w:pPr>
              <w:pStyle w:val="Sinespaciado"/>
            </w:pPr>
            <w:r>
              <w:rPr>
                <w:rFonts w:ascii="Calibri" w:hAnsi="Calibri" w:eastAsia="Calibri" w:cs="Calibri"/>
                <w:b/>
              </w:rPr>
              <w:t>JUAN FRANCISCO SUÁREZ GÓMEZ</w:t>
            </w:r>
          </w:p>
          <w:p>
            <w:pPr>
              <w:pStyle w:val="Sinespaciado"/>
            </w:pPr>
            <w:r>
              <w:rPr>
                <w:rFonts w:ascii="Calibri" w:hAnsi="Calibri" w:eastAsia="Calibri" w:cs="Calibri"/>
                <w:b w:val="0"/>
              </w:rPr>
              <w:t>CC No. ____________________</w:t>
            </w:r>
          </w:p>
          <w:p>
            <w:pPr>
              <w:pStyle w:val="Sinespaciado"/>
            </w:pPr>
            <w:r>
              <w:rPr>
                <w:rFonts w:ascii="Calibri" w:hAnsi="Calibri" w:eastAsia="Calibri" w:cs="Calibri"/>
                <w:b w:val="0"/>
              </w:rPr>
              <w:t>Representante Legal</w:t>
            </w:r>
          </w:p>
          <w:p>
            <w:pPr>
              <w:pStyle w:val="Sinespaciado"/>
            </w:pPr>
            <w:r>
              <w:rPr>
                <w:rFonts w:ascii="Calibri" w:hAnsi="Calibri" w:eastAsia="Calibri" w:cs="Calibri"/>
                <w:b/>
              </w:rPr>
              <w:t>UNIDROGAS S.A.S.</w:t>
            </w:r>
          </w:p>
        </w:tc>
      </w:tr>
    </w:tbl>
    <w:sectPr w:rsidR="001D5826" w:rsidRPr="00D371BF" w:rsidSect="00160CCA">
      <w:headerReference w:type="default" r:id="rId11"/>
      <w:pgSz w:w="11906" w:h="16838" w:code="9"/>
      <w:pgMar w:top="1985" w:right="1701" w:bottom="1418"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B97C69" w14:textId="77777777" w:rsidR="004D35D3" w:rsidRDefault="004D35D3" w:rsidP="00332141">
      <w:pPr>
        <w:spacing w:after="0" w:line="240" w:lineRule="auto"/>
      </w:pPr>
      <w:r>
        <w:separator/>
      </w:r>
    </w:p>
  </w:endnote>
  <w:endnote w:type="continuationSeparator" w:id="0">
    <w:p w14:paraId="7B37FC60" w14:textId="77777777" w:rsidR="004D35D3" w:rsidRDefault="004D35D3" w:rsidP="00332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136ECC" w14:textId="77777777" w:rsidR="004D35D3" w:rsidRDefault="004D35D3" w:rsidP="00332141">
      <w:pPr>
        <w:spacing w:after="0" w:line="240" w:lineRule="auto"/>
      </w:pPr>
      <w:r>
        <w:separator/>
      </w:r>
    </w:p>
  </w:footnote>
  <w:footnote w:type="continuationSeparator" w:id="0">
    <w:p w14:paraId="020F60FD" w14:textId="77777777" w:rsidR="004D35D3" w:rsidRDefault="004D35D3" w:rsidP="00332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644EC2" w14:textId="12FB75FE" w:rsidR="00332141" w:rsidRDefault="00332141">
    <w:pPr>
      <w:pStyle w:val="Encabezado"/>
    </w:pPr>
    <w:r>
      <w:rPr>
        <w:noProof/>
        <w:lang w:val="en-US"/>
      </w:rPr>
      <w:drawing>
        <wp:anchor distT="0" distB="0" distL="114300" distR="114300" simplePos="0" relativeHeight="251658240" behindDoc="1" locked="0" layoutInCell="1" allowOverlap="1" wp14:anchorId="26DEF70D" wp14:editId="7432C3C3">
          <wp:simplePos x="0" y="0"/>
          <wp:positionH relativeFrom="page">
            <wp:align>left</wp:align>
          </wp:positionH>
          <wp:positionV relativeFrom="paragraph">
            <wp:posOffset>-456895</wp:posOffset>
          </wp:positionV>
          <wp:extent cx="7585862" cy="10691193"/>
          <wp:effectExtent l="0" t="0" r="0" b="0"/>
          <wp:wrapNone/>
          <wp:docPr id="1574834300" name="Imagen 157483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87601" cy="1069364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52B7F"/>
    <w:multiLevelType w:val="hybridMultilevel"/>
    <w:tmpl w:val="8E7A8B58"/>
    <w:lvl w:ilvl="0" w:tplc="82B01ED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0C568E"/>
    <w:multiLevelType w:val="hybridMultilevel"/>
    <w:tmpl w:val="AB86DA4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6D5588E"/>
    <w:multiLevelType w:val="hybridMultilevel"/>
    <w:tmpl w:val="EB606C4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289511E"/>
    <w:multiLevelType w:val="hybridMultilevel"/>
    <w:tmpl w:val="2C70299A"/>
    <w:lvl w:ilvl="0" w:tplc="86C266C6">
      <w:start w:val="1"/>
      <w:numFmt w:val="lowerLetter"/>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4A2791"/>
    <w:multiLevelType w:val="hybridMultilevel"/>
    <w:tmpl w:val="A6825B5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38A0E7C"/>
    <w:multiLevelType w:val="hybridMultilevel"/>
    <w:tmpl w:val="22E292B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6CF7BCC"/>
    <w:multiLevelType w:val="hybridMultilevel"/>
    <w:tmpl w:val="3F120B4C"/>
    <w:lvl w:ilvl="0" w:tplc="86C266C6">
      <w:start w:val="1"/>
      <w:numFmt w:val="lowerLetter"/>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7A0718B"/>
    <w:multiLevelType w:val="hybridMultilevel"/>
    <w:tmpl w:val="4B22D1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A9F5D9C"/>
    <w:multiLevelType w:val="hybridMultilevel"/>
    <w:tmpl w:val="58BC9C60"/>
    <w:lvl w:ilvl="0" w:tplc="2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15414E4"/>
    <w:multiLevelType w:val="hybridMultilevel"/>
    <w:tmpl w:val="37B23364"/>
    <w:lvl w:ilvl="0" w:tplc="82B01ED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1B10DAD"/>
    <w:multiLevelType w:val="hybridMultilevel"/>
    <w:tmpl w:val="9A1A7F6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2F35B20"/>
    <w:multiLevelType w:val="hybridMultilevel"/>
    <w:tmpl w:val="557841F6"/>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3050C81"/>
    <w:multiLevelType w:val="hybridMultilevel"/>
    <w:tmpl w:val="B770BFD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7AA30C1"/>
    <w:multiLevelType w:val="hybridMultilevel"/>
    <w:tmpl w:val="26D0468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11C7DC0"/>
    <w:multiLevelType w:val="hybridMultilevel"/>
    <w:tmpl w:val="86BC532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9E17694"/>
    <w:multiLevelType w:val="hybridMultilevel"/>
    <w:tmpl w:val="DF8A669E"/>
    <w:lvl w:ilvl="0" w:tplc="0340EE7C">
      <w:start w:val="1"/>
      <w:numFmt w:val="lowerLetter"/>
      <w:lvlText w:val="%1)"/>
      <w:lvlJc w:val="left"/>
      <w:pPr>
        <w:ind w:left="1884" w:hanging="1176"/>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BBC2995"/>
    <w:multiLevelType w:val="hybridMultilevel"/>
    <w:tmpl w:val="59C421F4"/>
    <w:lvl w:ilvl="0" w:tplc="B73ACE98">
      <w:start w:val="1"/>
      <w:numFmt w:val="lowerLetter"/>
      <w:lvlText w:val="%1)"/>
      <w:lvlJc w:val="left"/>
      <w:pPr>
        <w:ind w:left="1536" w:hanging="1176"/>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C330077"/>
    <w:multiLevelType w:val="hybridMultilevel"/>
    <w:tmpl w:val="E6A6232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40634B2"/>
    <w:multiLevelType w:val="hybridMultilevel"/>
    <w:tmpl w:val="49941136"/>
    <w:lvl w:ilvl="0" w:tplc="4930097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9182A7C"/>
    <w:multiLevelType w:val="hybridMultilevel"/>
    <w:tmpl w:val="27FE89B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9C92ED8"/>
    <w:multiLevelType w:val="hybridMultilevel"/>
    <w:tmpl w:val="2BD63BD6"/>
    <w:lvl w:ilvl="0" w:tplc="82B01ED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C6B32D1"/>
    <w:multiLevelType w:val="hybridMultilevel"/>
    <w:tmpl w:val="5386BDB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0777683"/>
    <w:multiLevelType w:val="hybridMultilevel"/>
    <w:tmpl w:val="D6F89400"/>
    <w:lvl w:ilvl="0" w:tplc="2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50C3ED8"/>
    <w:multiLevelType w:val="hybridMultilevel"/>
    <w:tmpl w:val="6878240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57620D3"/>
    <w:multiLevelType w:val="hybridMultilevel"/>
    <w:tmpl w:val="F95E3C6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7D70255"/>
    <w:multiLevelType w:val="hybridMultilevel"/>
    <w:tmpl w:val="480C80F4"/>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8E57954"/>
    <w:multiLevelType w:val="hybridMultilevel"/>
    <w:tmpl w:val="9FECA72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9595044"/>
    <w:multiLevelType w:val="hybridMultilevel"/>
    <w:tmpl w:val="004EEC5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B991B02"/>
    <w:multiLevelType w:val="hybridMultilevel"/>
    <w:tmpl w:val="D0E8FE72"/>
    <w:lvl w:ilvl="0" w:tplc="0340EE7C">
      <w:start w:val="1"/>
      <w:numFmt w:val="lowerLetter"/>
      <w:lvlText w:val="%1)"/>
      <w:lvlJc w:val="left"/>
      <w:pPr>
        <w:ind w:left="1884" w:hanging="1176"/>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9" w15:restartNumberingAfterBreak="0">
    <w:nsid w:val="6E591C54"/>
    <w:multiLevelType w:val="hybridMultilevel"/>
    <w:tmpl w:val="12BCFF3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0E30C23"/>
    <w:multiLevelType w:val="hybridMultilevel"/>
    <w:tmpl w:val="3EA23BB4"/>
    <w:lvl w:ilvl="0" w:tplc="240A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3234AB4"/>
    <w:multiLevelType w:val="hybridMultilevel"/>
    <w:tmpl w:val="91C0F2E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52D0C96"/>
    <w:multiLevelType w:val="hybridMultilevel"/>
    <w:tmpl w:val="53F09B40"/>
    <w:lvl w:ilvl="0" w:tplc="4030C814">
      <w:start w:val="1"/>
      <w:numFmt w:val="lowerLetter"/>
      <w:lvlText w:val="%1)"/>
      <w:lvlJc w:val="left"/>
      <w:pPr>
        <w:ind w:left="936" w:hanging="576"/>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9AB78D7"/>
    <w:multiLevelType w:val="hybridMultilevel"/>
    <w:tmpl w:val="3D14A06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3"/>
  </w:num>
  <w:num w:numId="2">
    <w:abstractNumId w:val="8"/>
  </w:num>
  <w:num w:numId="3">
    <w:abstractNumId w:val="22"/>
  </w:num>
  <w:num w:numId="4">
    <w:abstractNumId w:val="7"/>
  </w:num>
  <w:num w:numId="5">
    <w:abstractNumId w:val="14"/>
  </w:num>
  <w:num w:numId="6">
    <w:abstractNumId w:val="2"/>
  </w:num>
  <w:num w:numId="7">
    <w:abstractNumId w:val="32"/>
  </w:num>
  <w:num w:numId="8">
    <w:abstractNumId w:val="12"/>
  </w:num>
  <w:num w:numId="9">
    <w:abstractNumId w:val="3"/>
  </w:num>
  <w:num w:numId="10">
    <w:abstractNumId w:val="6"/>
  </w:num>
  <w:num w:numId="11">
    <w:abstractNumId w:val="27"/>
  </w:num>
  <w:num w:numId="12">
    <w:abstractNumId w:val="19"/>
  </w:num>
  <w:num w:numId="13">
    <w:abstractNumId w:val="28"/>
  </w:num>
  <w:num w:numId="14">
    <w:abstractNumId w:val="15"/>
  </w:num>
  <w:num w:numId="15">
    <w:abstractNumId w:val="16"/>
  </w:num>
  <w:num w:numId="16">
    <w:abstractNumId w:val="1"/>
  </w:num>
  <w:num w:numId="17">
    <w:abstractNumId w:val="29"/>
  </w:num>
  <w:num w:numId="18">
    <w:abstractNumId w:val="4"/>
  </w:num>
  <w:num w:numId="19">
    <w:abstractNumId w:val="25"/>
  </w:num>
  <w:num w:numId="20">
    <w:abstractNumId w:val="18"/>
  </w:num>
  <w:num w:numId="21">
    <w:abstractNumId w:val="33"/>
  </w:num>
  <w:num w:numId="22">
    <w:abstractNumId w:val="5"/>
  </w:num>
  <w:num w:numId="23">
    <w:abstractNumId w:val="11"/>
  </w:num>
  <w:num w:numId="24">
    <w:abstractNumId w:val="0"/>
  </w:num>
  <w:num w:numId="25">
    <w:abstractNumId w:val="9"/>
  </w:num>
  <w:num w:numId="26">
    <w:abstractNumId w:val="20"/>
  </w:num>
  <w:num w:numId="27">
    <w:abstractNumId w:val="30"/>
  </w:num>
  <w:num w:numId="28">
    <w:abstractNumId w:val="24"/>
  </w:num>
  <w:num w:numId="29">
    <w:abstractNumId w:val="10"/>
  </w:num>
  <w:num w:numId="30">
    <w:abstractNumId w:val="26"/>
  </w:num>
  <w:num w:numId="31">
    <w:abstractNumId w:val="21"/>
  </w:num>
  <w:num w:numId="32">
    <w:abstractNumId w:val="31"/>
  </w:num>
  <w:num w:numId="33">
    <w:abstractNumId w:val="17"/>
  </w:num>
  <w:num w:numId="34">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C28"/>
    <w:rsid w:val="00002DD1"/>
    <w:rsid w:val="00007DCD"/>
    <w:rsid w:val="0001259E"/>
    <w:rsid w:val="0001357E"/>
    <w:rsid w:val="00030AAE"/>
    <w:rsid w:val="00031E81"/>
    <w:rsid w:val="000606CC"/>
    <w:rsid w:val="00081BE9"/>
    <w:rsid w:val="00084507"/>
    <w:rsid w:val="000A0DF1"/>
    <w:rsid w:val="000A3C7B"/>
    <w:rsid w:val="000B34FD"/>
    <w:rsid w:val="000B350F"/>
    <w:rsid w:val="000C4DCA"/>
    <w:rsid w:val="000C6073"/>
    <w:rsid w:val="000C65BF"/>
    <w:rsid w:val="000D2485"/>
    <w:rsid w:val="000D34EB"/>
    <w:rsid w:val="000E75C3"/>
    <w:rsid w:val="000F47DC"/>
    <w:rsid w:val="001036F0"/>
    <w:rsid w:val="00104BB4"/>
    <w:rsid w:val="0011415A"/>
    <w:rsid w:val="00122146"/>
    <w:rsid w:val="00124B1D"/>
    <w:rsid w:val="00132BC8"/>
    <w:rsid w:val="00133C62"/>
    <w:rsid w:val="001365E2"/>
    <w:rsid w:val="00136C4A"/>
    <w:rsid w:val="0014009E"/>
    <w:rsid w:val="001441AA"/>
    <w:rsid w:val="00155219"/>
    <w:rsid w:val="001566D6"/>
    <w:rsid w:val="00160CCA"/>
    <w:rsid w:val="00161AA3"/>
    <w:rsid w:val="00170DD1"/>
    <w:rsid w:val="001759B2"/>
    <w:rsid w:val="00182031"/>
    <w:rsid w:val="00182F62"/>
    <w:rsid w:val="0018494A"/>
    <w:rsid w:val="00191DFE"/>
    <w:rsid w:val="00193E20"/>
    <w:rsid w:val="00194757"/>
    <w:rsid w:val="001A02BE"/>
    <w:rsid w:val="001A19B0"/>
    <w:rsid w:val="001B23C2"/>
    <w:rsid w:val="001B4824"/>
    <w:rsid w:val="001C5A82"/>
    <w:rsid w:val="001D5826"/>
    <w:rsid w:val="001D5B81"/>
    <w:rsid w:val="001E3F46"/>
    <w:rsid w:val="001F6923"/>
    <w:rsid w:val="00213405"/>
    <w:rsid w:val="00217674"/>
    <w:rsid w:val="0022150E"/>
    <w:rsid w:val="00225D09"/>
    <w:rsid w:val="00230660"/>
    <w:rsid w:val="00240C6F"/>
    <w:rsid w:val="002424A7"/>
    <w:rsid w:val="00245F72"/>
    <w:rsid w:val="00257001"/>
    <w:rsid w:val="00262B8D"/>
    <w:rsid w:val="00271EA1"/>
    <w:rsid w:val="0028273D"/>
    <w:rsid w:val="00283408"/>
    <w:rsid w:val="00292B13"/>
    <w:rsid w:val="002A7ACD"/>
    <w:rsid w:val="002B324D"/>
    <w:rsid w:val="002C5B00"/>
    <w:rsid w:val="002D344F"/>
    <w:rsid w:val="002D368A"/>
    <w:rsid w:val="002D436F"/>
    <w:rsid w:val="002E5D35"/>
    <w:rsid w:val="002E6306"/>
    <w:rsid w:val="002E715C"/>
    <w:rsid w:val="003014E3"/>
    <w:rsid w:val="00304ACC"/>
    <w:rsid w:val="00307147"/>
    <w:rsid w:val="003071A1"/>
    <w:rsid w:val="0031145C"/>
    <w:rsid w:val="0032539C"/>
    <w:rsid w:val="00332141"/>
    <w:rsid w:val="003401D1"/>
    <w:rsid w:val="00344FEA"/>
    <w:rsid w:val="00351D43"/>
    <w:rsid w:val="00361F56"/>
    <w:rsid w:val="0036425A"/>
    <w:rsid w:val="00372466"/>
    <w:rsid w:val="00372FBB"/>
    <w:rsid w:val="00374BDD"/>
    <w:rsid w:val="00376F8E"/>
    <w:rsid w:val="00380FD4"/>
    <w:rsid w:val="00383CCD"/>
    <w:rsid w:val="00391805"/>
    <w:rsid w:val="0039506A"/>
    <w:rsid w:val="003B10BD"/>
    <w:rsid w:val="003D284E"/>
    <w:rsid w:val="003F29DF"/>
    <w:rsid w:val="003F2D8B"/>
    <w:rsid w:val="004003F5"/>
    <w:rsid w:val="00405A81"/>
    <w:rsid w:val="00415D03"/>
    <w:rsid w:val="00420256"/>
    <w:rsid w:val="00423565"/>
    <w:rsid w:val="00430EEE"/>
    <w:rsid w:val="00437D1C"/>
    <w:rsid w:val="00441931"/>
    <w:rsid w:val="00443399"/>
    <w:rsid w:val="00452329"/>
    <w:rsid w:val="004579AA"/>
    <w:rsid w:val="00460569"/>
    <w:rsid w:val="00477601"/>
    <w:rsid w:val="00484915"/>
    <w:rsid w:val="00485759"/>
    <w:rsid w:val="00486804"/>
    <w:rsid w:val="00494CF4"/>
    <w:rsid w:val="00495714"/>
    <w:rsid w:val="00495CCB"/>
    <w:rsid w:val="00496F1C"/>
    <w:rsid w:val="004A0E79"/>
    <w:rsid w:val="004C47AE"/>
    <w:rsid w:val="004D35D3"/>
    <w:rsid w:val="004E04C9"/>
    <w:rsid w:val="00501F04"/>
    <w:rsid w:val="005035E5"/>
    <w:rsid w:val="005052A6"/>
    <w:rsid w:val="00525705"/>
    <w:rsid w:val="005406DC"/>
    <w:rsid w:val="005452DC"/>
    <w:rsid w:val="0054666E"/>
    <w:rsid w:val="00551663"/>
    <w:rsid w:val="00553D38"/>
    <w:rsid w:val="00554F3A"/>
    <w:rsid w:val="00571E69"/>
    <w:rsid w:val="00577F99"/>
    <w:rsid w:val="005873D3"/>
    <w:rsid w:val="00594EC7"/>
    <w:rsid w:val="005952DA"/>
    <w:rsid w:val="005B40A8"/>
    <w:rsid w:val="005E6150"/>
    <w:rsid w:val="005F44F1"/>
    <w:rsid w:val="005F54A0"/>
    <w:rsid w:val="006040EA"/>
    <w:rsid w:val="006119B9"/>
    <w:rsid w:val="00613C87"/>
    <w:rsid w:val="00613CD1"/>
    <w:rsid w:val="006172F1"/>
    <w:rsid w:val="006236C8"/>
    <w:rsid w:val="00652EAE"/>
    <w:rsid w:val="00654FDE"/>
    <w:rsid w:val="0065505E"/>
    <w:rsid w:val="00661F98"/>
    <w:rsid w:val="00666A96"/>
    <w:rsid w:val="00692553"/>
    <w:rsid w:val="00693296"/>
    <w:rsid w:val="00695CBE"/>
    <w:rsid w:val="00695D11"/>
    <w:rsid w:val="006A6BE9"/>
    <w:rsid w:val="006B0E6B"/>
    <w:rsid w:val="006B1E50"/>
    <w:rsid w:val="006B2942"/>
    <w:rsid w:val="006B381D"/>
    <w:rsid w:val="006C4804"/>
    <w:rsid w:val="006D0978"/>
    <w:rsid w:val="006D20D5"/>
    <w:rsid w:val="006E695F"/>
    <w:rsid w:val="006F6C59"/>
    <w:rsid w:val="0072161E"/>
    <w:rsid w:val="007217EC"/>
    <w:rsid w:val="00723492"/>
    <w:rsid w:val="00731C03"/>
    <w:rsid w:val="007350B6"/>
    <w:rsid w:val="00737DBE"/>
    <w:rsid w:val="00740351"/>
    <w:rsid w:val="00743EB9"/>
    <w:rsid w:val="00745631"/>
    <w:rsid w:val="007459B1"/>
    <w:rsid w:val="007460DA"/>
    <w:rsid w:val="00752585"/>
    <w:rsid w:val="00752A88"/>
    <w:rsid w:val="00752B4B"/>
    <w:rsid w:val="00753842"/>
    <w:rsid w:val="0076014B"/>
    <w:rsid w:val="007858FA"/>
    <w:rsid w:val="007875F6"/>
    <w:rsid w:val="007A5391"/>
    <w:rsid w:val="007A5E3B"/>
    <w:rsid w:val="007B4C09"/>
    <w:rsid w:val="007C291C"/>
    <w:rsid w:val="007D46CE"/>
    <w:rsid w:val="007E23AF"/>
    <w:rsid w:val="007F477E"/>
    <w:rsid w:val="008115C8"/>
    <w:rsid w:val="00814216"/>
    <w:rsid w:val="0081575E"/>
    <w:rsid w:val="00823971"/>
    <w:rsid w:val="0084484D"/>
    <w:rsid w:val="00860F03"/>
    <w:rsid w:val="008670B0"/>
    <w:rsid w:val="008735D0"/>
    <w:rsid w:val="008764DA"/>
    <w:rsid w:val="00876B8A"/>
    <w:rsid w:val="00877435"/>
    <w:rsid w:val="008800F8"/>
    <w:rsid w:val="00891190"/>
    <w:rsid w:val="00891661"/>
    <w:rsid w:val="008A59FA"/>
    <w:rsid w:val="008B1E52"/>
    <w:rsid w:val="008C6317"/>
    <w:rsid w:val="008D11A7"/>
    <w:rsid w:val="008D3515"/>
    <w:rsid w:val="008D4F4F"/>
    <w:rsid w:val="008E5DB0"/>
    <w:rsid w:val="008E6F84"/>
    <w:rsid w:val="009132E2"/>
    <w:rsid w:val="0092088D"/>
    <w:rsid w:val="00932929"/>
    <w:rsid w:val="00933800"/>
    <w:rsid w:val="00935570"/>
    <w:rsid w:val="00944460"/>
    <w:rsid w:val="00944E8F"/>
    <w:rsid w:val="00946C5B"/>
    <w:rsid w:val="00950F3D"/>
    <w:rsid w:val="00965B2D"/>
    <w:rsid w:val="00980B64"/>
    <w:rsid w:val="00991355"/>
    <w:rsid w:val="009973CA"/>
    <w:rsid w:val="009A54BD"/>
    <w:rsid w:val="009B32D9"/>
    <w:rsid w:val="009C3EEB"/>
    <w:rsid w:val="009D3DE5"/>
    <w:rsid w:val="009D563C"/>
    <w:rsid w:val="009E09A1"/>
    <w:rsid w:val="009F4806"/>
    <w:rsid w:val="009F4B91"/>
    <w:rsid w:val="00A02351"/>
    <w:rsid w:val="00A050A9"/>
    <w:rsid w:val="00A13730"/>
    <w:rsid w:val="00A20F0C"/>
    <w:rsid w:val="00A24E45"/>
    <w:rsid w:val="00A337B2"/>
    <w:rsid w:val="00A52F77"/>
    <w:rsid w:val="00A54197"/>
    <w:rsid w:val="00A55FF6"/>
    <w:rsid w:val="00A76D91"/>
    <w:rsid w:val="00A83816"/>
    <w:rsid w:val="00A94DBE"/>
    <w:rsid w:val="00A9796E"/>
    <w:rsid w:val="00AA4A2A"/>
    <w:rsid w:val="00AB19C8"/>
    <w:rsid w:val="00AB3174"/>
    <w:rsid w:val="00AD3557"/>
    <w:rsid w:val="00AD5E32"/>
    <w:rsid w:val="00B014B8"/>
    <w:rsid w:val="00B023CF"/>
    <w:rsid w:val="00B031DE"/>
    <w:rsid w:val="00B044FA"/>
    <w:rsid w:val="00B06EAD"/>
    <w:rsid w:val="00B153AC"/>
    <w:rsid w:val="00B16861"/>
    <w:rsid w:val="00B1779B"/>
    <w:rsid w:val="00B40221"/>
    <w:rsid w:val="00B4459C"/>
    <w:rsid w:val="00B506B2"/>
    <w:rsid w:val="00B56D5E"/>
    <w:rsid w:val="00B66883"/>
    <w:rsid w:val="00B6751B"/>
    <w:rsid w:val="00B76453"/>
    <w:rsid w:val="00B779C6"/>
    <w:rsid w:val="00B82E03"/>
    <w:rsid w:val="00B86344"/>
    <w:rsid w:val="00B90BBE"/>
    <w:rsid w:val="00BA478E"/>
    <w:rsid w:val="00BA4DCC"/>
    <w:rsid w:val="00BA555B"/>
    <w:rsid w:val="00BA5711"/>
    <w:rsid w:val="00BA7361"/>
    <w:rsid w:val="00BC2FF8"/>
    <w:rsid w:val="00BC3578"/>
    <w:rsid w:val="00BC44AF"/>
    <w:rsid w:val="00BC4DB0"/>
    <w:rsid w:val="00BE0963"/>
    <w:rsid w:val="00C00512"/>
    <w:rsid w:val="00C05A2A"/>
    <w:rsid w:val="00C107B4"/>
    <w:rsid w:val="00C124C2"/>
    <w:rsid w:val="00C1411C"/>
    <w:rsid w:val="00C16206"/>
    <w:rsid w:val="00C52FA4"/>
    <w:rsid w:val="00C725F7"/>
    <w:rsid w:val="00C74E32"/>
    <w:rsid w:val="00C83C6A"/>
    <w:rsid w:val="00C95CB7"/>
    <w:rsid w:val="00CA32BD"/>
    <w:rsid w:val="00CB0D49"/>
    <w:rsid w:val="00CC4AE1"/>
    <w:rsid w:val="00CD03DD"/>
    <w:rsid w:val="00CD14B2"/>
    <w:rsid w:val="00CD5F27"/>
    <w:rsid w:val="00CD733F"/>
    <w:rsid w:val="00CE4087"/>
    <w:rsid w:val="00CE54E8"/>
    <w:rsid w:val="00D2376F"/>
    <w:rsid w:val="00D237E9"/>
    <w:rsid w:val="00D3069D"/>
    <w:rsid w:val="00D30DAF"/>
    <w:rsid w:val="00D34021"/>
    <w:rsid w:val="00D36722"/>
    <w:rsid w:val="00D371BF"/>
    <w:rsid w:val="00D45735"/>
    <w:rsid w:val="00D473CA"/>
    <w:rsid w:val="00D7118E"/>
    <w:rsid w:val="00D8220C"/>
    <w:rsid w:val="00D9333B"/>
    <w:rsid w:val="00D97AD9"/>
    <w:rsid w:val="00D97D0E"/>
    <w:rsid w:val="00DA0280"/>
    <w:rsid w:val="00DA0CCF"/>
    <w:rsid w:val="00DA26B4"/>
    <w:rsid w:val="00DB29B0"/>
    <w:rsid w:val="00DC24AB"/>
    <w:rsid w:val="00DC48E0"/>
    <w:rsid w:val="00DD2163"/>
    <w:rsid w:val="00DD3EFB"/>
    <w:rsid w:val="00DE1C28"/>
    <w:rsid w:val="00DE6BEF"/>
    <w:rsid w:val="00DF1CCE"/>
    <w:rsid w:val="00E006B2"/>
    <w:rsid w:val="00E10A18"/>
    <w:rsid w:val="00E15B12"/>
    <w:rsid w:val="00E17FE3"/>
    <w:rsid w:val="00E35FED"/>
    <w:rsid w:val="00E462EF"/>
    <w:rsid w:val="00E47135"/>
    <w:rsid w:val="00E57E7F"/>
    <w:rsid w:val="00E819A4"/>
    <w:rsid w:val="00E8305F"/>
    <w:rsid w:val="00E852B2"/>
    <w:rsid w:val="00E92B40"/>
    <w:rsid w:val="00E96B41"/>
    <w:rsid w:val="00EA5403"/>
    <w:rsid w:val="00EB47AC"/>
    <w:rsid w:val="00EC10A3"/>
    <w:rsid w:val="00ED2835"/>
    <w:rsid w:val="00ED2D61"/>
    <w:rsid w:val="00EF4B97"/>
    <w:rsid w:val="00F04953"/>
    <w:rsid w:val="00F149D6"/>
    <w:rsid w:val="00F25D26"/>
    <w:rsid w:val="00F31160"/>
    <w:rsid w:val="00F42F92"/>
    <w:rsid w:val="00F51C64"/>
    <w:rsid w:val="00F654C2"/>
    <w:rsid w:val="00F70C5F"/>
    <w:rsid w:val="00F70CDF"/>
    <w:rsid w:val="00F77A57"/>
    <w:rsid w:val="00F86427"/>
    <w:rsid w:val="00F95D4C"/>
    <w:rsid w:val="00FA476B"/>
    <w:rsid w:val="00FB3BFA"/>
    <w:rsid w:val="00FB7CE9"/>
    <w:rsid w:val="00FD22D5"/>
    <w:rsid w:val="00FD4209"/>
    <w:rsid w:val="00FD55EB"/>
    <w:rsid w:val="00FD760B"/>
    <w:rsid w:val="00FD7805"/>
    <w:rsid w:val="00FF1DB8"/>
    <w:rsid w:val="00FF6B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87FB00"/>
  <w15:chartTrackingRefBased/>
  <w15:docId w15:val="{EB53FC11-25D9-4F81-9FC8-B84764A0E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47AE"/>
  </w:style>
  <w:style w:type="paragraph" w:styleId="Ttulo1">
    <w:name w:val="heading 1"/>
    <w:basedOn w:val="Normal"/>
    <w:next w:val="Normal"/>
    <w:link w:val="Ttulo1Car"/>
    <w:uiPriority w:val="9"/>
    <w:qFormat/>
    <w:rsid w:val="00DE1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1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1C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1C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1C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1C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1C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1C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1C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1C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1C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1C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1C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1C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1C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1C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1C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1C28"/>
    <w:rPr>
      <w:rFonts w:eastAsiaTheme="majorEastAsia" w:cstheme="majorBidi"/>
      <w:color w:val="272727" w:themeColor="text1" w:themeTint="D8"/>
    </w:rPr>
  </w:style>
  <w:style w:type="paragraph" w:styleId="Ttulo">
    <w:name w:val="Title"/>
    <w:basedOn w:val="Normal"/>
    <w:next w:val="Normal"/>
    <w:link w:val="TtuloCar"/>
    <w:uiPriority w:val="10"/>
    <w:qFormat/>
    <w:rsid w:val="00DE1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1C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1C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1C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1C28"/>
    <w:pPr>
      <w:spacing w:before="160"/>
      <w:jc w:val="center"/>
    </w:pPr>
    <w:rPr>
      <w:i/>
      <w:iCs/>
      <w:color w:val="404040" w:themeColor="text1" w:themeTint="BF"/>
    </w:rPr>
  </w:style>
  <w:style w:type="character" w:customStyle="1" w:styleId="CitaCar">
    <w:name w:val="Cita Car"/>
    <w:basedOn w:val="Fuentedeprrafopredeter"/>
    <w:link w:val="Cita"/>
    <w:uiPriority w:val="29"/>
    <w:rsid w:val="00DE1C28"/>
    <w:rPr>
      <w:i/>
      <w:iCs/>
      <w:color w:val="404040" w:themeColor="text1" w:themeTint="BF"/>
    </w:rPr>
  </w:style>
  <w:style w:type="paragraph" w:styleId="Prrafodelista">
    <w:name w:val="List Paragraph"/>
    <w:basedOn w:val="Normal"/>
    <w:uiPriority w:val="34"/>
    <w:qFormat/>
    <w:rsid w:val="00DE1C28"/>
    <w:pPr>
      <w:ind w:left="720"/>
      <w:contextualSpacing/>
    </w:pPr>
  </w:style>
  <w:style w:type="character" w:styleId="nfasisintenso">
    <w:name w:val="Intense Emphasis"/>
    <w:basedOn w:val="Fuentedeprrafopredeter"/>
    <w:uiPriority w:val="21"/>
    <w:qFormat/>
    <w:rsid w:val="00DE1C28"/>
    <w:rPr>
      <w:i/>
      <w:iCs/>
      <w:color w:val="0F4761" w:themeColor="accent1" w:themeShade="BF"/>
    </w:rPr>
  </w:style>
  <w:style w:type="paragraph" w:styleId="Citadestacada">
    <w:name w:val="Intense Quote"/>
    <w:basedOn w:val="Normal"/>
    <w:next w:val="Normal"/>
    <w:link w:val="CitadestacadaCar"/>
    <w:uiPriority w:val="30"/>
    <w:qFormat/>
    <w:rsid w:val="00DE1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1C28"/>
    <w:rPr>
      <w:i/>
      <w:iCs/>
      <w:color w:val="0F4761" w:themeColor="accent1" w:themeShade="BF"/>
    </w:rPr>
  </w:style>
  <w:style w:type="character" w:styleId="Referenciaintensa">
    <w:name w:val="Intense Reference"/>
    <w:basedOn w:val="Fuentedeprrafopredeter"/>
    <w:uiPriority w:val="32"/>
    <w:qFormat/>
    <w:rsid w:val="00DE1C28"/>
    <w:rPr>
      <w:b/>
      <w:bCs/>
      <w:smallCaps/>
      <w:color w:val="0F4761" w:themeColor="accent1" w:themeShade="BF"/>
      <w:spacing w:val="5"/>
    </w:rPr>
  </w:style>
  <w:style w:type="paragraph" w:styleId="Encabezado">
    <w:name w:val="header"/>
    <w:basedOn w:val="Normal"/>
    <w:link w:val="EncabezadoCar"/>
    <w:uiPriority w:val="99"/>
    <w:unhideWhenUsed/>
    <w:rsid w:val="003321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2141"/>
  </w:style>
  <w:style w:type="paragraph" w:styleId="Piedepgina">
    <w:name w:val="footer"/>
    <w:basedOn w:val="Normal"/>
    <w:link w:val="PiedepginaCar"/>
    <w:uiPriority w:val="99"/>
    <w:unhideWhenUsed/>
    <w:rsid w:val="003321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2141"/>
  </w:style>
  <w:style w:type="paragraph" w:styleId="Sinespaciado">
    <w:name w:val="No Spacing"/>
    <w:uiPriority w:val="1"/>
    <w:qFormat/>
    <w:rsid w:val="00DA0CCF"/>
    <w:pPr>
      <w:spacing w:after="0" w:line="240" w:lineRule="auto"/>
    </w:pPr>
  </w:style>
  <w:style w:type="paragraph" w:styleId="NormalWeb">
    <w:name w:val="Normal (Web)"/>
    <w:basedOn w:val="Normal"/>
    <w:uiPriority w:val="99"/>
    <w:unhideWhenUsed/>
    <w:rsid w:val="000C4DCA"/>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0C4DCA"/>
    <w:rPr>
      <w:b/>
      <w:bCs/>
    </w:rPr>
  </w:style>
  <w:style w:type="character" w:styleId="Hipervnculo">
    <w:name w:val="Hyperlink"/>
    <w:basedOn w:val="Fuentedeprrafopredeter"/>
    <w:uiPriority w:val="99"/>
    <w:unhideWhenUsed/>
    <w:rsid w:val="006C4804"/>
    <w:rPr>
      <w:color w:val="467886" w:themeColor="hyperlink"/>
      <w:u w:val="single"/>
    </w:rPr>
  </w:style>
  <w:style w:type="character" w:customStyle="1" w:styleId="UnresolvedMention">
    <w:name w:val="Unresolved Mention"/>
    <w:basedOn w:val="Fuentedeprrafopredeter"/>
    <w:uiPriority w:val="99"/>
    <w:semiHidden/>
    <w:unhideWhenUsed/>
    <w:rsid w:val="006C4804"/>
    <w:rPr>
      <w:color w:val="605E5C"/>
      <w:shd w:val="clear" w:color="auto" w:fill="E1DFDD"/>
    </w:rPr>
  </w:style>
  <w:style w:type="character" w:customStyle="1" w:styleId="relative">
    <w:name w:val="relative"/>
    <w:basedOn w:val="Fuentedeprrafopredeter"/>
    <w:rsid w:val="00E006B2"/>
  </w:style>
  <w:style w:type="paragraph" w:customStyle="1" w:styleId="not-prose">
    <w:name w:val="not-prose"/>
    <w:basedOn w:val="Normal"/>
    <w:rsid w:val="00E006B2"/>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isselectedend">
    <w:name w:val="isselectedend"/>
    <w:basedOn w:val="Normal"/>
    <w:rsid w:val="0001357E"/>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text-token-text-primary">
    <w:name w:val="text-token-text-primary"/>
    <w:basedOn w:val="Fuentedeprrafopredeter"/>
    <w:rsid w:val="003014E3"/>
  </w:style>
  <w:style w:type="table" w:styleId="Tablaconcuadrcula">
    <w:name w:val="Table Grid"/>
    <w:basedOn w:val="Tablanormal"/>
    <w:uiPriority w:val="39"/>
    <w:rsid w:val="0029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33412">
      <w:bodyDiv w:val="1"/>
      <w:marLeft w:val="0"/>
      <w:marRight w:val="0"/>
      <w:marTop w:val="0"/>
      <w:marBottom w:val="0"/>
      <w:divBdr>
        <w:top w:val="none" w:sz="0" w:space="0" w:color="auto"/>
        <w:left w:val="none" w:sz="0" w:space="0" w:color="auto"/>
        <w:bottom w:val="none" w:sz="0" w:space="0" w:color="auto"/>
        <w:right w:val="none" w:sz="0" w:space="0" w:color="auto"/>
      </w:divBdr>
    </w:div>
    <w:div w:id="71591652">
      <w:bodyDiv w:val="1"/>
      <w:marLeft w:val="0"/>
      <w:marRight w:val="0"/>
      <w:marTop w:val="0"/>
      <w:marBottom w:val="0"/>
      <w:divBdr>
        <w:top w:val="none" w:sz="0" w:space="0" w:color="auto"/>
        <w:left w:val="none" w:sz="0" w:space="0" w:color="auto"/>
        <w:bottom w:val="none" w:sz="0" w:space="0" w:color="auto"/>
        <w:right w:val="none" w:sz="0" w:space="0" w:color="auto"/>
      </w:divBdr>
    </w:div>
    <w:div w:id="389042062">
      <w:bodyDiv w:val="1"/>
      <w:marLeft w:val="0"/>
      <w:marRight w:val="0"/>
      <w:marTop w:val="0"/>
      <w:marBottom w:val="0"/>
      <w:divBdr>
        <w:top w:val="none" w:sz="0" w:space="0" w:color="auto"/>
        <w:left w:val="none" w:sz="0" w:space="0" w:color="auto"/>
        <w:bottom w:val="none" w:sz="0" w:space="0" w:color="auto"/>
        <w:right w:val="none" w:sz="0" w:space="0" w:color="auto"/>
      </w:divBdr>
    </w:div>
    <w:div w:id="438531955">
      <w:bodyDiv w:val="1"/>
      <w:marLeft w:val="0"/>
      <w:marRight w:val="0"/>
      <w:marTop w:val="0"/>
      <w:marBottom w:val="0"/>
      <w:divBdr>
        <w:top w:val="none" w:sz="0" w:space="0" w:color="auto"/>
        <w:left w:val="none" w:sz="0" w:space="0" w:color="auto"/>
        <w:bottom w:val="none" w:sz="0" w:space="0" w:color="auto"/>
        <w:right w:val="none" w:sz="0" w:space="0" w:color="auto"/>
      </w:divBdr>
    </w:div>
    <w:div w:id="545876820">
      <w:bodyDiv w:val="1"/>
      <w:marLeft w:val="0"/>
      <w:marRight w:val="0"/>
      <w:marTop w:val="0"/>
      <w:marBottom w:val="0"/>
      <w:divBdr>
        <w:top w:val="none" w:sz="0" w:space="0" w:color="auto"/>
        <w:left w:val="none" w:sz="0" w:space="0" w:color="auto"/>
        <w:bottom w:val="none" w:sz="0" w:space="0" w:color="auto"/>
        <w:right w:val="none" w:sz="0" w:space="0" w:color="auto"/>
      </w:divBdr>
    </w:div>
    <w:div w:id="655107714">
      <w:bodyDiv w:val="1"/>
      <w:marLeft w:val="0"/>
      <w:marRight w:val="0"/>
      <w:marTop w:val="0"/>
      <w:marBottom w:val="0"/>
      <w:divBdr>
        <w:top w:val="none" w:sz="0" w:space="0" w:color="auto"/>
        <w:left w:val="none" w:sz="0" w:space="0" w:color="auto"/>
        <w:bottom w:val="none" w:sz="0" w:space="0" w:color="auto"/>
        <w:right w:val="none" w:sz="0" w:space="0" w:color="auto"/>
      </w:divBdr>
    </w:div>
    <w:div w:id="660356692">
      <w:bodyDiv w:val="1"/>
      <w:marLeft w:val="0"/>
      <w:marRight w:val="0"/>
      <w:marTop w:val="0"/>
      <w:marBottom w:val="0"/>
      <w:divBdr>
        <w:top w:val="none" w:sz="0" w:space="0" w:color="auto"/>
        <w:left w:val="none" w:sz="0" w:space="0" w:color="auto"/>
        <w:bottom w:val="none" w:sz="0" w:space="0" w:color="auto"/>
        <w:right w:val="none" w:sz="0" w:space="0" w:color="auto"/>
      </w:divBdr>
    </w:div>
    <w:div w:id="696004244">
      <w:bodyDiv w:val="1"/>
      <w:marLeft w:val="0"/>
      <w:marRight w:val="0"/>
      <w:marTop w:val="0"/>
      <w:marBottom w:val="0"/>
      <w:divBdr>
        <w:top w:val="none" w:sz="0" w:space="0" w:color="auto"/>
        <w:left w:val="none" w:sz="0" w:space="0" w:color="auto"/>
        <w:bottom w:val="none" w:sz="0" w:space="0" w:color="auto"/>
        <w:right w:val="none" w:sz="0" w:space="0" w:color="auto"/>
      </w:divBdr>
    </w:div>
    <w:div w:id="700127803">
      <w:bodyDiv w:val="1"/>
      <w:marLeft w:val="0"/>
      <w:marRight w:val="0"/>
      <w:marTop w:val="0"/>
      <w:marBottom w:val="0"/>
      <w:divBdr>
        <w:top w:val="none" w:sz="0" w:space="0" w:color="auto"/>
        <w:left w:val="none" w:sz="0" w:space="0" w:color="auto"/>
        <w:bottom w:val="none" w:sz="0" w:space="0" w:color="auto"/>
        <w:right w:val="none" w:sz="0" w:space="0" w:color="auto"/>
      </w:divBdr>
    </w:div>
    <w:div w:id="901283724">
      <w:bodyDiv w:val="1"/>
      <w:marLeft w:val="0"/>
      <w:marRight w:val="0"/>
      <w:marTop w:val="0"/>
      <w:marBottom w:val="0"/>
      <w:divBdr>
        <w:top w:val="none" w:sz="0" w:space="0" w:color="auto"/>
        <w:left w:val="none" w:sz="0" w:space="0" w:color="auto"/>
        <w:bottom w:val="none" w:sz="0" w:space="0" w:color="auto"/>
        <w:right w:val="none" w:sz="0" w:space="0" w:color="auto"/>
      </w:divBdr>
    </w:div>
    <w:div w:id="963003650">
      <w:bodyDiv w:val="1"/>
      <w:marLeft w:val="0"/>
      <w:marRight w:val="0"/>
      <w:marTop w:val="0"/>
      <w:marBottom w:val="0"/>
      <w:divBdr>
        <w:top w:val="none" w:sz="0" w:space="0" w:color="auto"/>
        <w:left w:val="none" w:sz="0" w:space="0" w:color="auto"/>
        <w:bottom w:val="none" w:sz="0" w:space="0" w:color="auto"/>
        <w:right w:val="none" w:sz="0" w:space="0" w:color="auto"/>
      </w:divBdr>
    </w:div>
    <w:div w:id="1037311104">
      <w:bodyDiv w:val="1"/>
      <w:marLeft w:val="0"/>
      <w:marRight w:val="0"/>
      <w:marTop w:val="0"/>
      <w:marBottom w:val="0"/>
      <w:divBdr>
        <w:top w:val="none" w:sz="0" w:space="0" w:color="auto"/>
        <w:left w:val="none" w:sz="0" w:space="0" w:color="auto"/>
        <w:bottom w:val="none" w:sz="0" w:space="0" w:color="auto"/>
        <w:right w:val="none" w:sz="0" w:space="0" w:color="auto"/>
      </w:divBdr>
    </w:div>
    <w:div w:id="1083645967">
      <w:bodyDiv w:val="1"/>
      <w:marLeft w:val="0"/>
      <w:marRight w:val="0"/>
      <w:marTop w:val="0"/>
      <w:marBottom w:val="0"/>
      <w:divBdr>
        <w:top w:val="none" w:sz="0" w:space="0" w:color="auto"/>
        <w:left w:val="none" w:sz="0" w:space="0" w:color="auto"/>
        <w:bottom w:val="none" w:sz="0" w:space="0" w:color="auto"/>
        <w:right w:val="none" w:sz="0" w:space="0" w:color="auto"/>
      </w:divBdr>
      <w:divsChild>
        <w:div w:id="829292772">
          <w:marLeft w:val="0"/>
          <w:marRight w:val="0"/>
          <w:marTop w:val="0"/>
          <w:marBottom w:val="0"/>
          <w:divBdr>
            <w:top w:val="none" w:sz="0" w:space="0" w:color="auto"/>
            <w:left w:val="none" w:sz="0" w:space="0" w:color="auto"/>
            <w:bottom w:val="none" w:sz="0" w:space="0" w:color="auto"/>
            <w:right w:val="none" w:sz="0" w:space="0" w:color="auto"/>
          </w:divBdr>
        </w:div>
      </w:divsChild>
    </w:div>
    <w:div w:id="1195532343">
      <w:bodyDiv w:val="1"/>
      <w:marLeft w:val="0"/>
      <w:marRight w:val="0"/>
      <w:marTop w:val="0"/>
      <w:marBottom w:val="0"/>
      <w:divBdr>
        <w:top w:val="none" w:sz="0" w:space="0" w:color="auto"/>
        <w:left w:val="none" w:sz="0" w:space="0" w:color="auto"/>
        <w:bottom w:val="none" w:sz="0" w:space="0" w:color="auto"/>
        <w:right w:val="none" w:sz="0" w:space="0" w:color="auto"/>
      </w:divBdr>
    </w:div>
    <w:div w:id="1316642214">
      <w:bodyDiv w:val="1"/>
      <w:marLeft w:val="0"/>
      <w:marRight w:val="0"/>
      <w:marTop w:val="0"/>
      <w:marBottom w:val="0"/>
      <w:divBdr>
        <w:top w:val="none" w:sz="0" w:space="0" w:color="auto"/>
        <w:left w:val="none" w:sz="0" w:space="0" w:color="auto"/>
        <w:bottom w:val="none" w:sz="0" w:space="0" w:color="auto"/>
        <w:right w:val="none" w:sz="0" w:space="0" w:color="auto"/>
      </w:divBdr>
    </w:div>
    <w:div w:id="1552496317">
      <w:bodyDiv w:val="1"/>
      <w:marLeft w:val="0"/>
      <w:marRight w:val="0"/>
      <w:marTop w:val="0"/>
      <w:marBottom w:val="0"/>
      <w:divBdr>
        <w:top w:val="none" w:sz="0" w:space="0" w:color="auto"/>
        <w:left w:val="none" w:sz="0" w:space="0" w:color="auto"/>
        <w:bottom w:val="none" w:sz="0" w:space="0" w:color="auto"/>
        <w:right w:val="none" w:sz="0" w:space="0" w:color="auto"/>
      </w:divBdr>
    </w:div>
    <w:div w:id="1621447516">
      <w:bodyDiv w:val="1"/>
      <w:marLeft w:val="0"/>
      <w:marRight w:val="0"/>
      <w:marTop w:val="0"/>
      <w:marBottom w:val="0"/>
      <w:divBdr>
        <w:top w:val="none" w:sz="0" w:space="0" w:color="auto"/>
        <w:left w:val="none" w:sz="0" w:space="0" w:color="auto"/>
        <w:bottom w:val="none" w:sz="0" w:space="0" w:color="auto"/>
        <w:right w:val="none" w:sz="0" w:space="0" w:color="auto"/>
      </w:divBdr>
    </w:div>
    <w:div w:id="1655137768">
      <w:bodyDiv w:val="1"/>
      <w:marLeft w:val="0"/>
      <w:marRight w:val="0"/>
      <w:marTop w:val="0"/>
      <w:marBottom w:val="0"/>
      <w:divBdr>
        <w:top w:val="none" w:sz="0" w:space="0" w:color="auto"/>
        <w:left w:val="none" w:sz="0" w:space="0" w:color="auto"/>
        <w:bottom w:val="none" w:sz="0" w:space="0" w:color="auto"/>
        <w:right w:val="none" w:sz="0" w:space="0" w:color="auto"/>
      </w:divBdr>
    </w:div>
    <w:div w:id="1656496867">
      <w:bodyDiv w:val="1"/>
      <w:marLeft w:val="0"/>
      <w:marRight w:val="0"/>
      <w:marTop w:val="0"/>
      <w:marBottom w:val="0"/>
      <w:divBdr>
        <w:top w:val="none" w:sz="0" w:space="0" w:color="auto"/>
        <w:left w:val="none" w:sz="0" w:space="0" w:color="auto"/>
        <w:bottom w:val="none" w:sz="0" w:space="0" w:color="auto"/>
        <w:right w:val="none" w:sz="0" w:space="0" w:color="auto"/>
      </w:divBdr>
    </w:div>
    <w:div w:id="1665353696">
      <w:bodyDiv w:val="1"/>
      <w:marLeft w:val="0"/>
      <w:marRight w:val="0"/>
      <w:marTop w:val="0"/>
      <w:marBottom w:val="0"/>
      <w:divBdr>
        <w:top w:val="none" w:sz="0" w:space="0" w:color="auto"/>
        <w:left w:val="none" w:sz="0" w:space="0" w:color="auto"/>
        <w:bottom w:val="none" w:sz="0" w:space="0" w:color="auto"/>
        <w:right w:val="none" w:sz="0" w:space="0" w:color="auto"/>
      </w:divBdr>
      <w:divsChild>
        <w:div w:id="745301081">
          <w:marLeft w:val="0"/>
          <w:marRight w:val="0"/>
          <w:marTop w:val="0"/>
          <w:marBottom w:val="0"/>
          <w:divBdr>
            <w:top w:val="none" w:sz="0" w:space="0" w:color="auto"/>
            <w:left w:val="none" w:sz="0" w:space="0" w:color="auto"/>
            <w:bottom w:val="none" w:sz="0" w:space="0" w:color="auto"/>
            <w:right w:val="none" w:sz="0" w:space="0" w:color="auto"/>
          </w:divBdr>
          <w:divsChild>
            <w:div w:id="1248347762">
              <w:marLeft w:val="0"/>
              <w:marRight w:val="0"/>
              <w:marTop w:val="0"/>
              <w:marBottom w:val="0"/>
              <w:divBdr>
                <w:top w:val="none" w:sz="0" w:space="0" w:color="auto"/>
                <w:left w:val="none" w:sz="0" w:space="0" w:color="auto"/>
                <w:bottom w:val="none" w:sz="0" w:space="0" w:color="auto"/>
                <w:right w:val="none" w:sz="0" w:space="0" w:color="auto"/>
              </w:divBdr>
              <w:divsChild>
                <w:div w:id="2101020150">
                  <w:marLeft w:val="0"/>
                  <w:marRight w:val="0"/>
                  <w:marTop w:val="0"/>
                  <w:marBottom w:val="0"/>
                  <w:divBdr>
                    <w:top w:val="none" w:sz="0" w:space="0" w:color="auto"/>
                    <w:left w:val="none" w:sz="0" w:space="0" w:color="auto"/>
                    <w:bottom w:val="none" w:sz="0" w:space="0" w:color="auto"/>
                    <w:right w:val="none" w:sz="0" w:space="0" w:color="auto"/>
                  </w:divBdr>
                  <w:divsChild>
                    <w:div w:id="1545754166">
                      <w:marLeft w:val="0"/>
                      <w:marRight w:val="0"/>
                      <w:marTop w:val="0"/>
                      <w:marBottom w:val="0"/>
                      <w:divBdr>
                        <w:top w:val="none" w:sz="0" w:space="0" w:color="auto"/>
                        <w:left w:val="none" w:sz="0" w:space="0" w:color="auto"/>
                        <w:bottom w:val="none" w:sz="0" w:space="0" w:color="auto"/>
                        <w:right w:val="none" w:sz="0" w:space="0" w:color="auto"/>
                      </w:divBdr>
                      <w:divsChild>
                        <w:div w:id="455756691">
                          <w:marLeft w:val="0"/>
                          <w:marRight w:val="0"/>
                          <w:marTop w:val="0"/>
                          <w:marBottom w:val="0"/>
                          <w:divBdr>
                            <w:top w:val="none" w:sz="0" w:space="0" w:color="auto"/>
                            <w:left w:val="none" w:sz="0" w:space="0" w:color="auto"/>
                            <w:bottom w:val="none" w:sz="0" w:space="0" w:color="auto"/>
                            <w:right w:val="none" w:sz="0" w:space="0" w:color="auto"/>
                          </w:divBdr>
                          <w:divsChild>
                            <w:div w:id="3557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680169">
      <w:bodyDiv w:val="1"/>
      <w:marLeft w:val="0"/>
      <w:marRight w:val="0"/>
      <w:marTop w:val="0"/>
      <w:marBottom w:val="0"/>
      <w:divBdr>
        <w:top w:val="none" w:sz="0" w:space="0" w:color="auto"/>
        <w:left w:val="none" w:sz="0" w:space="0" w:color="auto"/>
        <w:bottom w:val="none" w:sz="0" w:space="0" w:color="auto"/>
        <w:right w:val="none" w:sz="0" w:space="0" w:color="auto"/>
      </w:divBdr>
    </w:div>
    <w:div w:id="1807431942">
      <w:bodyDiv w:val="1"/>
      <w:marLeft w:val="0"/>
      <w:marRight w:val="0"/>
      <w:marTop w:val="0"/>
      <w:marBottom w:val="0"/>
      <w:divBdr>
        <w:top w:val="none" w:sz="0" w:space="0" w:color="auto"/>
        <w:left w:val="none" w:sz="0" w:space="0" w:color="auto"/>
        <w:bottom w:val="none" w:sz="0" w:space="0" w:color="auto"/>
        <w:right w:val="none" w:sz="0" w:space="0" w:color="auto"/>
      </w:divBdr>
    </w:div>
    <w:div w:id="1896890974">
      <w:bodyDiv w:val="1"/>
      <w:marLeft w:val="0"/>
      <w:marRight w:val="0"/>
      <w:marTop w:val="0"/>
      <w:marBottom w:val="0"/>
      <w:divBdr>
        <w:top w:val="none" w:sz="0" w:space="0" w:color="auto"/>
        <w:left w:val="none" w:sz="0" w:space="0" w:color="auto"/>
        <w:bottom w:val="none" w:sz="0" w:space="0" w:color="auto"/>
        <w:right w:val="none" w:sz="0" w:space="0" w:color="auto"/>
      </w:divBdr>
    </w:div>
    <w:div w:id="1957910254">
      <w:bodyDiv w:val="1"/>
      <w:marLeft w:val="0"/>
      <w:marRight w:val="0"/>
      <w:marTop w:val="0"/>
      <w:marBottom w:val="0"/>
      <w:divBdr>
        <w:top w:val="none" w:sz="0" w:space="0" w:color="auto"/>
        <w:left w:val="none" w:sz="0" w:space="0" w:color="auto"/>
        <w:bottom w:val="none" w:sz="0" w:space="0" w:color="auto"/>
        <w:right w:val="none" w:sz="0" w:space="0" w:color="auto"/>
      </w:divBdr>
    </w:div>
    <w:div w:id="203299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547a2eaad0a5637c193ac74aba76f18f">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6f695877e8b965714139766d93863c79"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0B3E9-9CC2-4D6C-819C-AC5AA183C442}">
  <ds:schemaRefs>
    <ds:schemaRef ds:uri="http://schemas.microsoft.com/sharepoint/v3/contenttype/forms"/>
  </ds:schemaRefs>
</ds:datastoreItem>
</file>

<file path=customXml/itemProps2.xml><?xml version="1.0" encoding="utf-8"?>
<ds:datastoreItem xmlns:ds="http://schemas.openxmlformats.org/officeDocument/2006/customXml" ds:itemID="{CAA582BB-40CE-4DE8-8017-C5BEB7976799}">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customXml/itemProps3.xml><?xml version="1.0" encoding="utf-8"?>
<ds:datastoreItem xmlns:ds="http://schemas.openxmlformats.org/officeDocument/2006/customXml" ds:itemID="{B3AB4FA7-F650-437A-9012-F6AF26CC7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D0D1C2-0C38-456B-B444-AEAEA9070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Parra</dc:creator>
  <cp:keywords/>
  <dc:description/>
  <cp:lastModifiedBy>Full Service</cp:lastModifiedBy>
  <cp:revision>4</cp:revision>
  <cp:lastPrinted>2026-03-09T13:14:00Z</cp:lastPrinted>
  <dcterms:created xsi:type="dcterms:W3CDTF">2026-05-25T13:50:00Z</dcterms:created>
  <dcterms:modified xsi:type="dcterms:W3CDTF">2026-07-09T15:20:00Z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MediaServiceImageTags">
    <vt:lpwstr/>
  </property>
</Properties>
</file>