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jc w:val="center"/>
      </w:pPr>
      <w:r>
        <w:rPr>
          <w:rFonts w:ascii="Arial" w:cs="Arial" w:eastAsia="Arial" w:hAnsi="Arial"/>
          <w:b/>
          <w:bCs/>
          <w:sz w:val="24"/>
          <w:szCs w:val="24"/>
        </w:rPr>
        <w:t xml:space="preserve">ANALISADOR ESPECTRAL DE ÁUDIO: DESENVOLVIMENTO E VALIDAÇÃO DE UM SISTEMA WEB BASEADO EM FFT E JANELAMENTO</w:t>
      </w:r>
    </w:p>
    <w:p>
      <w:pPr>
        <w:spacing w:line="240"/>
        <w:jc w:val="center"/>
      </w:pPr>
    </w:p>
    <w:p>
      <w:pPr>
        <w:spacing w:line="240"/>
        <w:jc w:val="center"/>
      </w:pPr>
      <w:r>
        <w:rPr>
          <w:rFonts w:ascii="Arial" w:cs="Arial" w:eastAsia="Arial" w:hAnsi="Arial"/>
          <w:b/>
          <w:bCs/>
          <w:sz w:val="24"/>
          <w:szCs w:val="24"/>
        </w:rPr>
        <w:t xml:space="preserve">Autores: Eduardo Peron¹, Gustavo Albano Nunes².</w:t>
      </w:r>
    </w:p>
    <w:p>
      <w:pPr>
        <w:spacing w:line="240"/>
        <w:jc w:val="center"/>
      </w:pPr>
    </w:p>
    <w:p>
      <w:pPr>
        <w:spacing w:line="240"/>
        <w:jc w:val="center"/>
      </w:pPr>
      <w:r>
        <w:rPr>
          <w:rFonts w:ascii="Arial" w:cs="Arial" w:eastAsia="Arial" w:hAnsi="Arial"/>
          <w:b w:val="false"/>
          <w:bCs w:val="false"/>
          <w:sz w:val="20"/>
          <w:szCs w:val="20"/>
        </w:rPr>
        <w:t xml:space="preserve">¹Universidade do Vale do Paraíba/Faculdade de Engenharias, Arquitetura e Urbanismo, Avenida Shishima Hifumi, 2911, Urbanova - 12244-000 - São José dos Campos-SP, Brasil, eduardoperon@outlook.com.br.</w:t>
      </w:r>
    </w:p>
    <w:p>
      <w:pPr>
        <w:spacing w:line="240"/>
        <w:jc w:val="center"/>
      </w:pPr>
      <w:r>
        <w:rPr>
          <w:rFonts w:ascii="Arial" w:cs="Arial" w:eastAsia="Arial" w:hAnsi="Arial"/>
          <w:b w:val="false"/>
          <w:bCs w:val="false"/>
          <w:sz w:val="20"/>
          <w:szCs w:val="20"/>
        </w:rPr>
        <w:t xml:space="preserve">²Universidade do Vale do Paraíba/Faculdade de Engenharias, Arquitetura e Urbanismo, Avenida Shishima Hifumi, 2911, Urbanova - 12244-000 - São José dos Campos-SP, Brasil, gustavoalbano711@gmail.com.</w:t>
      </w:r>
    </w:p>
    <w:p>
      <w:pPr>
        <w:keepNext/>
        <w:spacing w:before="230" w:line="240"/>
      </w:pPr>
      <w:r>
        <w:rPr>
          <w:rFonts w:ascii="Arial" w:cs="Arial" w:eastAsia="Arial" w:hAnsi="Arial"/>
          <w:b/>
          <w:bCs/>
          <w:sz w:val="20"/>
          <w:szCs w:val="20"/>
        </w:rPr>
        <w:t xml:space="preserve">Resumo</w:t>
      </w:r>
    </w:p>
    <w:p>
      <w:pPr>
        <w:spacing w:line="240"/>
        <w:jc w:val="both"/>
      </w:pPr>
      <w:r>
        <w:rPr>
          <w:rFonts w:ascii="Arial" w:cs="Arial" w:eastAsia="Arial" w:hAnsi="Arial"/>
          <w:b w:val="false"/>
          <w:bCs w:val="false"/>
          <w:sz w:val="20"/>
          <w:szCs w:val="20"/>
        </w:rPr>
        <w:t xml:space="preserve">O processamento digital de sinais permite extrair do áudio informações que não são evidentes no domínio do tempo, mas o cálculo do espectro costuma ser apresentado ao estudante como uma caixa-preta. Este trabalho teve como objetivo desenvolver e validar um Analisador Espectral de Áudio, sistema web executado localmente que lê arquivos WAV, aplica janelamento (retangular, Hanning ou Hamming) e calcula o espectro por uma implementação própria da Transformada Rápida de Fourier (FFT), exibindo-o em um gráfico interativo e registrando as análises em banco de dados. O sistema foi desenvolvido em Python (Flask, NumPy e SQLite), com interface em HTML, CSS e JavaScript. A validação usou sinais sintéticos de frequência conhecida e comparou a FFT própria com uma implementação de referência. </w:t>
      </w:r>
      <w:r>
        <w:rPr>
          <w:rFonts w:ascii="Arial" w:cs="Arial" w:eastAsia="Arial" w:hAnsi="Arial"/>
          <w:b w:val="false"/>
          <w:bCs w:val="false"/>
          <w:sz w:val="20"/>
          <w:szCs w:val="20"/>
          <w:highlight w:val="yellow"/>
          <w:highlightCs w:val="yellow"/>
        </w:rPr>
        <w:t xml:space="preserve">Nos testes, o erro na frequência do pico foi de X Hz (Y %), dentro da resolução espectral, e a FFT própria foi Z vezes mais rápida que a DFT direta para N = 4096. Concluir se o objetivo foi atingido.</w:t>
      </w:r>
    </w:p>
    <w:p>
      <w:pPr>
        <w:spacing w:line="240"/>
        <w:jc w:val="both"/>
      </w:pPr>
      <w:r>
        <w:rPr>
          <w:rFonts w:ascii="Arial" w:cs="Arial" w:eastAsia="Arial" w:hAnsi="Arial"/>
          <w:b/>
          <w:bCs/>
          <w:sz w:val="20"/>
          <w:szCs w:val="20"/>
        </w:rPr>
        <w:t xml:space="preserve">Palavras-chave</w:t>
      </w:r>
      <w:r>
        <w:rPr>
          <w:rFonts w:ascii="Arial" w:cs="Arial" w:eastAsia="Arial" w:hAnsi="Arial"/>
          <w:b w:val="false"/>
          <w:bCs w:val="false"/>
          <w:sz w:val="20"/>
          <w:szCs w:val="20"/>
        </w:rPr>
        <w:t xml:space="preserve">: Processamento digital de sinais. Transformada rápida de Fourier. Janelamento. Análise espectral. Áudio.</w:t>
      </w:r>
    </w:p>
    <w:p>
      <w:pPr>
        <w:spacing w:before="230" w:line="240"/>
      </w:pPr>
      <w:r>
        <w:rPr>
          <w:rFonts w:ascii="Arial" w:cs="Arial" w:eastAsia="Arial" w:hAnsi="Arial"/>
          <w:b/>
          <w:bCs/>
          <w:sz w:val="20"/>
          <w:szCs w:val="20"/>
        </w:rPr>
        <w:t xml:space="preserve">Área do Conhecimento</w:t>
      </w:r>
      <w:r>
        <w:rPr>
          <w:rFonts w:ascii="Arial" w:cs="Arial" w:eastAsia="Arial" w:hAnsi="Arial"/>
          <w:b w:val="false"/>
          <w:bCs w:val="false"/>
          <w:sz w:val="20"/>
          <w:szCs w:val="20"/>
        </w:rPr>
        <w:t xml:space="preserve">: Engenharias – Engenharia de Computação.</w:t>
      </w:r>
    </w:p>
    <w:p>
      <w:pPr>
        <w:keepNext/>
        <w:spacing w:after="230" w:before="230" w:line="240"/>
      </w:pPr>
      <w:r>
        <w:rPr>
          <w:rFonts w:ascii="Arial" w:cs="Arial" w:eastAsia="Arial" w:hAnsi="Arial"/>
          <w:b/>
          <w:bCs/>
          <w:sz w:val="20"/>
          <w:szCs w:val="20"/>
        </w:rPr>
        <w:t xml:space="preserve">Introdução</w:t>
      </w:r>
    </w:p>
    <w:p>
      <w:pPr>
        <w:spacing w:line="240"/>
        <w:ind w:firstLine="444"/>
        <w:jc w:val="both"/>
      </w:pPr>
      <w:r>
        <w:rPr>
          <w:rFonts w:ascii="Arial" w:cs="Arial" w:eastAsia="Arial" w:hAnsi="Arial"/>
          <w:b w:val="false"/>
          <w:bCs w:val="false"/>
          <w:sz w:val="20"/>
          <w:szCs w:val="20"/>
        </w:rPr>
        <w:t xml:space="preserve">A percepção humana do som é um fenômeno contínuo, mas sua representação e manipulação no mundo digital dependem de uma tradução matemática precisa dessa informação. O processamento digital de sinais permeia aplicações cotidianas, da compressão de áudio em plataformas de streaming ao reconhecimento de voz em assistentes virtuais, o que torna essencial compreender como o conteúdo de frequência de um sinal pode ser extraído, visualizado e interpretado. Embora existam ferramentas consolidadas de análise de áudio, o estudante de engenharia nem sempre tem acesso ao algoritmo que produz o espectro, o que dificulta relacionar parâmetros como o tamanho do bloco e a função de janela ao resultado observado.</w:t>
      </w:r>
    </w:p>
    <w:p>
      <w:pPr>
        <w:spacing w:line="240"/>
        <w:ind w:firstLine="444"/>
        <w:jc w:val="both"/>
      </w:pPr>
      <w:r>
        <w:rPr>
          <w:rFonts w:ascii="Arial" w:cs="Arial" w:eastAsia="Arial" w:hAnsi="Arial"/>
          <w:b w:val="false"/>
          <w:bCs w:val="false"/>
          <w:sz w:val="20"/>
          <w:szCs w:val="20"/>
        </w:rPr>
        <w:t xml:space="preserve">A análise no domínio da frequência de um sinal discreto é realizada por meio da Transformada Discreta de Fourier (DFT), cujo cálculo direto tem custo computacional proporcional a N², o que se torna custoso para blocos com milhares de amostras. Cooley e Tukey (1965) propuseram um algoritmo que calcula a mesma transformada com custo proporcional a N log N, hoje conhecido como Transformada Rápida de Fourier (FFT) e amplamente empregado em análise espectral. Entretanto, a aplicação da FFT sobre blocos finitos de um sinal contínuo introduz descontinuidades nas bordas do bloco, que se manifestam como vazamento espectral. Harris (1978) analisou funções de janelamento, como as de Hanning e Hamming, mostrando que elas atenuam esse efeito, ao custo de alargar o lóbulo principal do espectro.</w:t>
      </w:r>
    </w:p>
    <w:p>
      <w:pPr>
        <w:spacing w:line="240"/>
        <w:ind w:firstLine="444"/>
        <w:jc w:val="both"/>
      </w:pPr>
      <w:r>
        <w:rPr>
          <w:rFonts w:ascii="Arial" w:cs="Arial" w:eastAsia="Arial" w:hAnsi="Arial"/>
          <w:b w:val="false"/>
          <w:bCs w:val="false"/>
          <w:sz w:val="20"/>
          <w:szCs w:val="20"/>
        </w:rPr>
        <w:t xml:space="preserve">Do ponto de vista teórico, a correta digitalização de um sinal de áudio depende ainda do Teorema da Amostragem de Nyquist-Shannon, segundo o qual um sinal limitado em banda só pode ser reconstruído sem perda se a taxa de amostragem for superior ao dobro de sua maior frequência (Shannon, 1949; Oppenheim; Schafer, 2010). A frequência correspondente à metade da taxa de amostragem, chamada frequência de Nyquist, é, portanto, o limite superior do espectro exibido.</w:t>
      </w:r>
    </w:p>
    <w:p>
      <w:pPr>
        <w:spacing w:line="240"/>
        <w:ind w:firstLine="444"/>
        <w:jc w:val="both"/>
      </w:pPr>
      <w:r>
        <w:rPr>
          <w:rFonts w:ascii="Arial" w:cs="Arial" w:eastAsia="Arial" w:hAnsi="Arial"/>
          <w:b w:val="false"/>
          <w:bCs w:val="false"/>
          <w:sz w:val="20"/>
          <w:szCs w:val="20"/>
        </w:rPr>
        <w:t xml:space="preserve">Com base nesse arcabouço teórico (amostragem adequada, cálculo eficiente da FFT e mitigação do vazamento espectral por janelamento), este trabalho tem como objetivo desenvolver e validar um Analisador Espectral de Áudio: um sistema web, executado localmente, com backend em Python, FFT implementada no próprio sistema e persistência das análises em banco relacional. O sistema permite ao usuário carregar um arquivo de áudio, configurar os parâmetros de análise e visualizar o espectro de frequências de forma interativa. A validação é feita com sinais sintéticos de frequência conhecida, comparando a FFT implementada com uma implementação de referência.</w:t>
      </w:r>
    </w:p>
    <w:p>
      <w:pPr>
        <w:keepNext/>
        <w:spacing w:after="230" w:before="230" w:line="240"/>
      </w:pPr>
      <w:r>
        <w:rPr>
          <w:rFonts w:ascii="Arial" w:cs="Arial" w:eastAsia="Arial" w:hAnsi="Arial"/>
          <w:b/>
          <w:bCs/>
          <w:sz w:val="20"/>
          <w:szCs w:val="20"/>
        </w:rPr>
        <w:t xml:space="preserve">Metodologia</w:t>
      </w:r>
    </w:p>
    <w:p>
      <w:pPr>
        <w:spacing w:line="240"/>
        <w:ind w:firstLine="444"/>
        <w:jc w:val="both"/>
      </w:pPr>
      <w:r>
        <w:rPr>
          <w:rFonts w:ascii="Arial" w:cs="Arial" w:eastAsia="Arial" w:hAnsi="Arial"/>
          <w:b w:val="false"/>
          <w:bCs w:val="false"/>
          <w:sz w:val="20"/>
          <w:szCs w:val="20"/>
        </w:rPr>
        <w:t xml:space="preserve">O sistema segue uma arquitetura cliente-servidor executada em uma única máquina, sem dependência de internet. O backend foi desenvolvido em Python com o microframework Flask (Pallets Projects, 2026), expõe uma API REST com dados em JSON e persiste as análises em um banco SQLite por meio do SQLAlchemy (SQLAlchemy, 2026). O frontend, em HTML, CSS e JavaScript, consome a API e desenha o espectro com a biblioteca Plotly.js (Plotly, 2026), que oferece leitura de valores sob o cursor e zoom.</w:t>
      </w:r>
    </w:p>
    <w:p>
      <w:pPr>
        <w:spacing w:line="240"/>
        <w:ind w:firstLine="444"/>
        <w:jc w:val="both"/>
      </w:pPr>
      <w:r>
        <w:rPr>
          <w:rFonts w:ascii="Arial" w:cs="Arial" w:eastAsia="Arial" w:hAnsi="Arial"/>
          <w:b/>
          <w:bCs/>
          <w:sz w:val="20"/>
          <w:szCs w:val="20"/>
        </w:rPr>
        <w:t xml:space="preserve">Leitura do áudio.</w:t>
      </w:r>
      <w:r>
        <w:rPr>
          <w:rFonts w:ascii="Arial" w:cs="Arial" w:eastAsia="Arial" w:hAnsi="Arial"/>
          <w:b w:val="false"/>
          <w:bCs w:val="false"/>
          <w:sz w:val="20"/>
          <w:szCs w:val="20"/>
        </w:rPr>
        <w:t xml:space="preserve"> O sistema aceita arquivos WAV com codificação PCM de 16 bits, mono ou estéreo, de até 60 MB. O cabeçalho e as amostras são decodificados com o módulo wave da biblioteca padrão do Python (Python Software Foundation, 2026), e os arquivos estéreo são convertidos para mono pela média dos canais. As amostras são mantidas em vetores do NumPy (Harris et al., 2020).</w:t>
      </w:r>
    </w:p>
    <w:p>
      <w:pPr>
        <w:spacing w:line="240"/>
        <w:ind w:firstLine="444"/>
        <w:jc w:val="both"/>
      </w:pPr>
      <w:r>
        <w:rPr>
          <w:rFonts w:ascii="Arial" w:cs="Arial" w:eastAsia="Arial" w:hAnsi="Arial"/>
          <w:b/>
          <w:bCs/>
          <w:sz w:val="20"/>
          <w:szCs w:val="20"/>
        </w:rPr>
        <w:t xml:space="preserve">Janelamento e FFT.</w:t>
      </w:r>
      <w:r>
        <w:rPr>
          <w:rFonts w:ascii="Arial" w:cs="Arial" w:eastAsia="Arial" w:hAnsi="Arial"/>
          <w:b w:val="false"/>
          <w:bCs w:val="false"/>
          <w:sz w:val="20"/>
          <w:szCs w:val="20"/>
        </w:rPr>
        <w:t xml:space="preserve"> O sinal é dividido em blocos de N amostras, com N igual a 512, 1024, 2048 ou 4096, sem sobreposição. Para limitar o tempo de resposta, são analisados até 256 blocos igualmente espaçados ao longo do áudio. Cada bloco é multiplicado por uma função de janela (retangular, Hanning ou Hamming), sendo as duas últimas definidas, para n = 0, 1, …, N − 1, por:</w:t>
      </w:r>
    </w:p>
    <w:p>
      <w:pPr>
        <w:tabs>
          <w:tab w:val="center" w:pos="4530"/>
          <w:tab w:val="right" w:pos="9060"/>
        </w:tabs>
        <w:spacing w:after="60" w:before="60" w:line="240"/>
      </w:pPr>
      <w:r>
        <w:rPr>
          <w:rFonts w:ascii="Arial" w:cs="Arial" w:eastAsia="Arial" w:hAnsi="Arial"/>
          <w:sz w:val="20"/>
          <w:szCs w:val="20"/>
        </w:rPr>
        <w:t xml:space="preserve">	</w:t>
      </w:r>
      <w:r>
        <w:rPr>
          <w:rFonts w:ascii="Arial" w:cs="Arial" w:eastAsia="Arial" w:hAnsi="Arial"/>
          <w:b w:val="false"/>
          <w:bCs w:val="false"/>
          <w:sz w:val="20"/>
          <w:szCs w:val="20"/>
        </w:rPr>
        <w:t xml:space="preserve">w[n] = 0,5 − 0,5·cos(2πn/(N − 1))   (Hanning)</w:t>
      </w:r>
      <w:r>
        <w:rPr>
          <w:rFonts w:ascii="Arial" w:cs="Arial" w:eastAsia="Arial" w:hAnsi="Arial"/>
          <w:sz w:val="20"/>
          <w:szCs w:val="20"/>
        </w:rPr>
        <w:t xml:space="preserve">	(1)</w:t>
      </w:r>
    </w:p>
    <w:p>
      <w:pPr>
        <w:tabs>
          <w:tab w:val="center" w:pos="4530"/>
          <w:tab w:val="right" w:pos="9060"/>
        </w:tabs>
        <w:spacing w:after="60" w:before="60" w:line="240"/>
      </w:pPr>
      <w:r>
        <w:rPr>
          <w:rFonts w:ascii="Arial" w:cs="Arial" w:eastAsia="Arial" w:hAnsi="Arial"/>
          <w:sz w:val="20"/>
          <w:szCs w:val="20"/>
        </w:rPr>
        <w:t xml:space="preserve">	</w:t>
      </w:r>
      <w:r>
        <w:rPr>
          <w:rFonts w:ascii="Arial" w:cs="Arial" w:eastAsia="Arial" w:hAnsi="Arial"/>
          <w:b w:val="false"/>
          <w:bCs w:val="false"/>
          <w:sz w:val="20"/>
          <w:szCs w:val="20"/>
        </w:rPr>
        <w:t xml:space="preserve">w[n] = 0,54 − 0,46·cos(2πn/(N − 1))   (Hamming)</w:t>
      </w:r>
      <w:r>
        <w:rPr>
          <w:rFonts w:ascii="Arial" w:cs="Arial" w:eastAsia="Arial" w:hAnsi="Arial"/>
          <w:sz w:val="20"/>
          <w:szCs w:val="20"/>
        </w:rPr>
        <w:t xml:space="preserve">	(2)</w:t>
      </w:r>
    </w:p>
    <w:p>
      <w:pPr>
        <w:spacing w:line="240"/>
        <w:jc w:val="both"/>
      </w:pPr>
      <w:r>
        <w:rPr>
          <w:rFonts w:ascii="Arial" w:cs="Arial" w:eastAsia="Arial" w:hAnsi="Arial"/>
          <w:b w:val="false"/>
          <w:bCs w:val="false"/>
          <w:sz w:val="20"/>
          <w:szCs w:val="20"/>
        </w:rPr>
        <w:t xml:space="preserve">A FFT de cada bloco é calculada por uma implementação própria do algoritmo de Cooley e Tukey (1965), de raiz 2, sem o uso de funções de FFT de bibliotecas. Uma DFT direta, de custo proporcional a N², também foi implementada, apenas como referência de correção e de tempo. A magnitude de cada componente k, com 0 ≤ k ≤ N/2, é normalizada dividindo-se |X[k]| pela soma dos coeficientes da janela e multiplicando-se o resultado por 2 (exceto para k = 0 e k = N/2), de modo que uma senoide de amplitude A produza um pico próximo de A. A frequência da componente k é f = k·fs/N, em que fs é a taxa de amostragem, e a resolução espectral é Δf = fs/N. O espectro final é a média das magnitudes dos blocos, e a frequência de pico é a de maior magnitude, excluída a componente de 0 Hz.</w:t>
      </w:r>
    </w:p>
    <w:p>
      <w:pPr>
        <w:spacing w:line="240"/>
        <w:ind w:firstLine="444"/>
        <w:jc w:val="both"/>
      </w:pPr>
      <w:r>
        <w:rPr>
          <w:rFonts w:ascii="Arial" w:cs="Arial" w:eastAsia="Arial" w:hAnsi="Arial"/>
          <w:b/>
          <w:bCs/>
          <w:sz w:val="20"/>
          <w:szCs w:val="20"/>
        </w:rPr>
        <w:t xml:space="preserve">Persistência.</w:t>
      </w:r>
      <w:r>
        <w:rPr>
          <w:rFonts w:ascii="Arial" w:cs="Arial" w:eastAsia="Arial" w:hAnsi="Arial"/>
          <w:b w:val="false"/>
          <w:bCs w:val="false"/>
          <w:sz w:val="20"/>
          <w:szCs w:val="20"/>
        </w:rPr>
        <w:t xml:space="preserve"> Cada análise (arquivo, parâmetros, vetores de frequência e magnitude e frequência de pico) é gravada no banco SQLite, o que permite consultar, reabrir e excluir análises anteriores pela interface.</w:t>
      </w:r>
    </w:p>
    <w:p>
      <w:pPr>
        <w:spacing w:line="240"/>
        <w:ind w:firstLine="444"/>
        <w:jc w:val="both"/>
      </w:pPr>
      <w:r>
        <w:rPr>
          <w:rFonts w:ascii="Arial" w:cs="Arial" w:eastAsia="Arial" w:hAnsi="Arial"/>
          <w:b/>
          <w:bCs/>
          <w:sz w:val="20"/>
          <w:szCs w:val="20"/>
        </w:rPr>
        <w:t xml:space="preserve">Validação.</w:t>
      </w:r>
      <w:r>
        <w:rPr>
          <w:rFonts w:ascii="Arial" w:cs="Arial" w:eastAsia="Arial" w:hAnsi="Arial"/>
          <w:b w:val="false"/>
          <w:bCs w:val="false"/>
          <w:sz w:val="20"/>
          <w:szCs w:val="20"/>
        </w:rPr>
        <w:t xml:space="preserve"> Foram gerados por script sinais sintéticos de frequência conhecida: tons puros e soma de dois tons, em taxas de amostragem usuais (por exemplo, 44,1 kHz). A validação compreendeu quatro verificações: (i) equivalência numérica entre a FFT implementada e a função numpy.fft.fft (Harris et al., 2020), em testes automatizados; (ii) erro entre a frequência de pico detectada e a frequência real, com tolerância de um bin (fs/N); (iii) efeito de cada janela sobre o vazamento espectral, com tons de frequência fora do centro de um bin; e (iv) tempo de cálculo da DFT e da FFT em função de N, e tempo de resposta do sistema para arquivos de até 5 min a 48 kHz. As janelas foram conferidas com o módulo scipy.signal (Virtanen et al., 2020).</w:t>
      </w:r>
    </w:p>
    <w:p>
      <w:pPr>
        <w:keepNext/>
        <w:spacing w:after="230" w:before="230" w:line="240"/>
      </w:pPr>
      <w:r>
        <w:rPr>
          <w:rFonts w:ascii="Arial" w:cs="Arial" w:eastAsia="Arial" w:hAnsi="Arial"/>
          <w:b/>
          <w:bCs/>
          <w:sz w:val="20"/>
          <w:szCs w:val="20"/>
        </w:rPr>
        <w:t xml:space="preserve">Resultados</w:t>
      </w:r>
    </w:p>
    <w:p>
      <w:pPr>
        <w:spacing w:line="240"/>
        <w:ind w:firstLine="444"/>
        <w:jc w:val="both"/>
      </w:pPr>
      <w:r>
        <w:rPr>
          <w:rFonts w:ascii="Arial" w:cs="Arial" w:eastAsia="Arial" w:hAnsi="Arial"/>
          <w:b w:val="false"/>
          <w:bCs w:val="false"/>
          <w:sz w:val="20"/>
          <w:szCs w:val="20"/>
          <w:highlight w:val="yellow"/>
          <w:highlightCs w:val="yellow"/>
        </w:rPr>
        <w:t xml:space="preserve">PREENCHER após os testes. Apresentar: (1) a Tabela 1, com frequência real, janela, N, frequência detectada e erro; (2) a Figura 1, com o espectro de um tom fora do centro de um bin para as três janelas; (3) a Figura 2, com o tempo da DFT e da FFT em função de N (escala logarítmica); (4) o tempo de resposta medido para 5 min a 48 kHz; e (5) o resultado da comparação com numpy.fft.fft.</w:t>
      </w:r>
    </w:p>
    <w:p>
      <w:pPr>
        <w:keepNext/>
        <w:spacing w:after="80" w:before="200" w:line="240"/>
        <w:jc w:val="center"/>
      </w:pPr>
      <w:r>
        <w:rPr>
          <w:rFonts w:ascii="Arial" w:cs="Arial" w:eastAsia="Arial" w:hAnsi="Arial"/>
          <w:b w:val="false"/>
          <w:bCs w:val="false"/>
          <w:sz w:val="20"/>
          <w:szCs w:val="20"/>
        </w:rPr>
        <w:t xml:space="preserve">Tabela 1 – Frequência de pico detectada em tons puros, por janela e tamanho de bloco.</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900"/>
        <w:gridCol w:w="2100"/>
        <w:gridCol w:w="1560"/>
        <w:gridCol w:w="1600"/>
      </w:tblGrid>
      <w:tr>
        <w:trPr>
          <w:tblHeader/>
        </w:trPr>
        <w:tc>
          <w:tcPr>
            <w:tcW w:type="dxa" w:w="1500"/>
            <w:tcBorders>
              <w:top w:val="single" w:color="000000" w:sz="6"/>
              <w:left w:val="none" w:color="FFFFFF" w:sz="0"/>
              <w:bottom w:val="single" w:color="000000" w:sz="6"/>
              <w:right w:val="none" w:color="FFFFFF" w:sz="0"/>
            </w:tcBorders>
            <w:tcMar>
              <w:top w:type="dxa" w:w="50"/>
              <w:left w:type="dxa" w:w="70"/>
              <w:bottom w:type="dxa" w:w="50"/>
              <w:right w:type="dxa" w:w="70"/>
            </w:tcMar>
          </w:tcPr>
          <w:p>
            <w:pPr>
              <w:jc w:val="center"/>
            </w:pPr>
            <w:r>
              <w:rPr>
                <w:rFonts w:ascii="Arial" w:cs="Arial" w:eastAsia="Arial" w:hAnsi="Arial"/>
                <w:b/>
                <w:bCs/>
                <w:sz w:val="18"/>
                <w:szCs w:val="18"/>
              </w:rPr>
              <w:t xml:space="preserve">Frequência real (Hz)</w:t>
            </w:r>
          </w:p>
        </w:tc>
        <w:tc>
          <w:tcPr>
            <w:tcW w:type="dxa" w:w="1400"/>
            <w:tcBorders>
              <w:top w:val="single" w:color="000000" w:sz="6"/>
              <w:left w:val="none" w:color="FFFFFF" w:sz="0"/>
              <w:bottom w:val="single" w:color="000000" w:sz="6"/>
              <w:right w:val="none" w:color="FFFFFF" w:sz="0"/>
            </w:tcBorders>
            <w:tcMar>
              <w:top w:type="dxa" w:w="50"/>
              <w:left w:type="dxa" w:w="70"/>
              <w:bottom w:type="dxa" w:w="50"/>
              <w:right w:type="dxa" w:w="70"/>
            </w:tcMar>
          </w:tcPr>
          <w:p>
            <w:pPr>
              <w:jc w:val="center"/>
            </w:pPr>
            <w:r>
              <w:rPr>
                <w:rFonts w:ascii="Arial" w:cs="Arial" w:eastAsia="Arial" w:hAnsi="Arial"/>
                <w:b/>
                <w:bCs/>
                <w:sz w:val="18"/>
                <w:szCs w:val="18"/>
              </w:rPr>
              <w:t xml:space="preserve">Janela</w:t>
            </w:r>
          </w:p>
        </w:tc>
        <w:tc>
          <w:tcPr>
            <w:tcW w:type="dxa" w:w="900"/>
            <w:tcBorders>
              <w:top w:val="single" w:color="000000" w:sz="6"/>
              <w:left w:val="none" w:color="FFFFFF" w:sz="0"/>
              <w:bottom w:val="single" w:color="000000" w:sz="6"/>
              <w:right w:val="none" w:color="FFFFFF" w:sz="0"/>
            </w:tcBorders>
            <w:tcMar>
              <w:top w:type="dxa" w:w="50"/>
              <w:left w:type="dxa" w:w="70"/>
              <w:bottom w:type="dxa" w:w="50"/>
              <w:right w:type="dxa" w:w="70"/>
            </w:tcMar>
          </w:tcPr>
          <w:p>
            <w:pPr>
              <w:jc w:val="center"/>
            </w:pPr>
            <w:r>
              <w:rPr>
                <w:rFonts w:ascii="Arial" w:cs="Arial" w:eastAsia="Arial" w:hAnsi="Arial"/>
                <w:b/>
                <w:bCs/>
                <w:sz w:val="18"/>
                <w:szCs w:val="18"/>
              </w:rPr>
              <w:t xml:space="preserve">N</w:t>
            </w:r>
          </w:p>
        </w:tc>
        <w:tc>
          <w:tcPr>
            <w:tcW w:type="dxa" w:w="2100"/>
            <w:tcBorders>
              <w:top w:val="single" w:color="000000" w:sz="6"/>
              <w:left w:val="none" w:color="FFFFFF" w:sz="0"/>
              <w:bottom w:val="single" w:color="000000" w:sz="6"/>
              <w:right w:val="none" w:color="FFFFFF" w:sz="0"/>
            </w:tcBorders>
            <w:tcMar>
              <w:top w:type="dxa" w:w="50"/>
              <w:left w:type="dxa" w:w="70"/>
              <w:bottom w:type="dxa" w:w="50"/>
              <w:right w:type="dxa" w:w="70"/>
            </w:tcMar>
          </w:tcPr>
          <w:p>
            <w:pPr>
              <w:jc w:val="center"/>
            </w:pPr>
            <w:r>
              <w:rPr>
                <w:rFonts w:ascii="Arial" w:cs="Arial" w:eastAsia="Arial" w:hAnsi="Arial"/>
                <w:b/>
                <w:bCs/>
                <w:sz w:val="18"/>
                <w:szCs w:val="18"/>
              </w:rPr>
              <w:t xml:space="preserve">Frequência detectada (Hz)</w:t>
            </w:r>
          </w:p>
        </w:tc>
        <w:tc>
          <w:tcPr>
            <w:tcW w:type="dxa" w:w="1560"/>
            <w:tcBorders>
              <w:top w:val="single" w:color="000000" w:sz="6"/>
              <w:left w:val="none" w:color="FFFFFF" w:sz="0"/>
              <w:bottom w:val="single" w:color="000000" w:sz="6"/>
              <w:right w:val="none" w:color="FFFFFF" w:sz="0"/>
            </w:tcBorders>
            <w:tcMar>
              <w:top w:type="dxa" w:w="50"/>
              <w:left w:type="dxa" w:w="70"/>
              <w:bottom w:type="dxa" w:w="50"/>
              <w:right w:type="dxa" w:w="70"/>
            </w:tcMar>
          </w:tcPr>
          <w:p>
            <w:pPr>
              <w:jc w:val="center"/>
            </w:pPr>
            <w:r>
              <w:rPr>
                <w:rFonts w:ascii="Arial" w:cs="Arial" w:eastAsia="Arial" w:hAnsi="Arial"/>
                <w:b/>
                <w:bCs/>
                <w:sz w:val="18"/>
                <w:szCs w:val="18"/>
              </w:rPr>
              <w:t xml:space="preserve">Erro (Hz)</w:t>
            </w:r>
          </w:p>
        </w:tc>
        <w:tc>
          <w:tcPr>
            <w:tcW w:type="dxa" w:w="1600"/>
            <w:tcBorders>
              <w:top w:val="single" w:color="000000" w:sz="6"/>
              <w:left w:val="none" w:color="FFFFFF" w:sz="0"/>
              <w:bottom w:val="single" w:color="000000" w:sz="6"/>
              <w:right w:val="none" w:color="FFFFFF" w:sz="0"/>
            </w:tcBorders>
            <w:tcMar>
              <w:top w:type="dxa" w:w="50"/>
              <w:left w:type="dxa" w:w="70"/>
              <w:bottom w:type="dxa" w:w="50"/>
              <w:right w:type="dxa" w:w="70"/>
            </w:tcMar>
          </w:tcPr>
          <w:p>
            <w:pPr>
              <w:jc w:val="center"/>
            </w:pPr>
            <w:r>
              <w:rPr>
                <w:rFonts w:ascii="Arial" w:cs="Arial" w:eastAsia="Arial" w:hAnsi="Arial"/>
                <w:b/>
                <w:bCs/>
                <w:sz w:val="18"/>
                <w:szCs w:val="18"/>
              </w:rPr>
              <w:t xml:space="preserve">Erro relativo (%)</w:t>
            </w:r>
          </w:p>
        </w:tc>
      </w:tr>
      <w:t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jc w:val="center"/>
            </w:pPr>
            <w:r>
              <w:rPr>
                <w:rFonts w:ascii="Arial" w:cs="Arial" w:eastAsia="Arial" w:hAnsi="Arial"/>
                <w:b w:val="false"/>
                <w:bCs w:val="false"/>
                <w:sz w:val="18"/>
                <w:szCs w:val="18"/>
                <w:highlight w:val="yellow"/>
                <w:highlightCs w:val="yellow"/>
              </w:rPr>
              <w:t xml:space="preserve">…</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jc w:val="center"/>
            </w:pPr>
            <w:r>
              <w:rPr>
                <w:rFonts w:ascii="Arial" w:cs="Arial" w:eastAsia="Arial" w:hAnsi="Arial"/>
                <w:b w:val="false"/>
                <w:bCs w:val="false"/>
                <w:sz w:val="18"/>
                <w:szCs w:val="18"/>
                <w:highlight w:val="yellow"/>
                <w:highlightCs w:val="yellow"/>
              </w:rPr>
              <w:t xml:space="preserve">…</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jc w:val="center"/>
            </w:pPr>
            <w:r>
              <w:rPr>
                <w:rFonts w:ascii="Arial" w:cs="Arial" w:eastAsia="Arial" w:hAnsi="Arial"/>
                <w:b w:val="false"/>
                <w:bCs w:val="false"/>
                <w:sz w:val="18"/>
                <w:szCs w:val="18"/>
                <w:highlight w:val="yellow"/>
                <w:highlightCs w:val="yellow"/>
              </w:rPr>
              <w:t xml:space="preserve">…</w:t>
            </w:r>
          </w:p>
        </w:tc>
        <w:tc>
          <w:tcPr>
            <w:tcW w:type="dxa" w:w="2100"/>
            <w:tcBorders>
              <w:top w:val="none" w:color="FFFFFF" w:sz="0"/>
              <w:left w:val="none" w:color="FFFFFF" w:sz="0"/>
              <w:bottom w:val="none" w:color="FFFFFF" w:sz="0"/>
              <w:right w:val="none" w:color="FFFFFF" w:sz="0"/>
            </w:tcBorders>
            <w:tcMar>
              <w:top w:type="dxa" w:w="50"/>
              <w:left w:type="dxa" w:w="70"/>
              <w:bottom w:type="dxa" w:w="50"/>
              <w:right w:type="dxa" w:w="70"/>
            </w:tcMar>
          </w:tcPr>
          <w:p>
            <w:pPr>
              <w:jc w:val="center"/>
            </w:pPr>
            <w:r>
              <w:rPr>
                <w:rFonts w:ascii="Arial" w:cs="Arial" w:eastAsia="Arial" w:hAnsi="Arial"/>
                <w:b w:val="false"/>
                <w:bCs w:val="false"/>
                <w:sz w:val="18"/>
                <w:szCs w:val="18"/>
                <w:highlight w:val="yellow"/>
                <w:highlightCs w:val="yellow"/>
              </w:rPr>
              <w:t xml:space="preserve">…</w:t>
            </w:r>
          </w:p>
        </w:tc>
        <w:tc>
          <w:tcPr>
            <w:tcW w:type="dxa" w:w="1560"/>
            <w:tcBorders>
              <w:top w:val="none" w:color="FFFFFF" w:sz="0"/>
              <w:left w:val="none" w:color="FFFFFF" w:sz="0"/>
              <w:bottom w:val="none" w:color="FFFFFF" w:sz="0"/>
              <w:right w:val="none" w:color="FFFFFF" w:sz="0"/>
            </w:tcBorders>
            <w:tcMar>
              <w:top w:type="dxa" w:w="50"/>
              <w:left w:type="dxa" w:w="70"/>
              <w:bottom w:type="dxa" w:w="50"/>
              <w:right w:type="dxa" w:w="70"/>
            </w:tcMar>
          </w:tcPr>
          <w:p>
            <w:pPr>
              <w:jc w:val="center"/>
            </w:pPr>
            <w:r>
              <w:rPr>
                <w:rFonts w:ascii="Arial" w:cs="Arial" w:eastAsia="Arial" w:hAnsi="Arial"/>
                <w:b w:val="false"/>
                <w:bCs w:val="false"/>
                <w:sz w:val="18"/>
                <w:szCs w:val="18"/>
                <w:highlight w:val="yellow"/>
                <w:highlightCs w:val="yellow"/>
              </w:rPr>
              <w:t xml:space="preserve">…</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jc w:val="center"/>
            </w:pPr>
            <w:r>
              <w:rPr>
                <w:rFonts w:ascii="Arial" w:cs="Arial" w:eastAsia="Arial" w:hAnsi="Arial"/>
                <w:b w:val="false"/>
                <w:bCs w:val="false"/>
                <w:sz w:val="18"/>
                <w:szCs w:val="18"/>
                <w:highlight w:val="yellow"/>
                <w:highlightCs w:val="yellow"/>
              </w:rPr>
              <w:t xml:space="preserve">…</w:t>
            </w:r>
          </w:p>
        </w:tc>
      </w:tr>
      <w:tr>
        <w:tc>
          <w:tcPr>
            <w:tcW w:type="dxa" w:w="1500"/>
            <w:tcBorders>
              <w:top w:val="none" w:color="FFFFFF" w:sz="0"/>
              <w:left w:val="none" w:color="FFFFFF" w:sz="0"/>
              <w:bottom w:val="single" w:color="000000" w:sz="6"/>
              <w:right w:val="none" w:color="FFFFFF" w:sz="0"/>
            </w:tcBorders>
            <w:tcMar>
              <w:top w:type="dxa" w:w="50"/>
              <w:left w:type="dxa" w:w="70"/>
              <w:bottom w:type="dxa" w:w="50"/>
              <w:right w:type="dxa" w:w="70"/>
            </w:tcMar>
          </w:tcPr>
          <w:p>
            <w:pPr>
              <w:jc w:val="center"/>
            </w:pPr>
            <w:r>
              <w:rPr>
                <w:rFonts w:ascii="Arial" w:cs="Arial" w:eastAsia="Arial" w:hAnsi="Arial"/>
                <w:b w:val="false"/>
                <w:bCs w:val="false"/>
                <w:sz w:val="18"/>
                <w:szCs w:val="18"/>
                <w:highlight w:val="yellow"/>
                <w:highlightCs w:val="yellow"/>
              </w:rPr>
              <w:t xml:space="preserve">…</w:t>
            </w:r>
          </w:p>
        </w:tc>
        <w:tc>
          <w:tcPr>
            <w:tcW w:type="dxa" w:w="1400"/>
            <w:tcBorders>
              <w:top w:val="none" w:color="FFFFFF" w:sz="0"/>
              <w:left w:val="none" w:color="FFFFFF" w:sz="0"/>
              <w:bottom w:val="single" w:color="000000" w:sz="6"/>
              <w:right w:val="none" w:color="FFFFFF" w:sz="0"/>
            </w:tcBorders>
            <w:tcMar>
              <w:top w:type="dxa" w:w="50"/>
              <w:left w:type="dxa" w:w="70"/>
              <w:bottom w:type="dxa" w:w="50"/>
              <w:right w:type="dxa" w:w="70"/>
            </w:tcMar>
          </w:tcPr>
          <w:p>
            <w:pPr>
              <w:jc w:val="center"/>
            </w:pPr>
            <w:r>
              <w:rPr>
                <w:rFonts w:ascii="Arial" w:cs="Arial" w:eastAsia="Arial" w:hAnsi="Arial"/>
                <w:b w:val="false"/>
                <w:bCs w:val="false"/>
                <w:sz w:val="18"/>
                <w:szCs w:val="18"/>
                <w:highlight w:val="yellow"/>
                <w:highlightCs w:val="yellow"/>
              </w:rPr>
              <w:t xml:space="preserve">…</w:t>
            </w:r>
          </w:p>
        </w:tc>
        <w:tc>
          <w:tcPr>
            <w:tcW w:type="dxa" w:w="900"/>
            <w:tcBorders>
              <w:top w:val="none" w:color="FFFFFF" w:sz="0"/>
              <w:left w:val="none" w:color="FFFFFF" w:sz="0"/>
              <w:bottom w:val="single" w:color="000000" w:sz="6"/>
              <w:right w:val="none" w:color="FFFFFF" w:sz="0"/>
            </w:tcBorders>
            <w:tcMar>
              <w:top w:type="dxa" w:w="50"/>
              <w:left w:type="dxa" w:w="70"/>
              <w:bottom w:type="dxa" w:w="50"/>
              <w:right w:type="dxa" w:w="70"/>
            </w:tcMar>
          </w:tcPr>
          <w:p>
            <w:pPr>
              <w:jc w:val="center"/>
            </w:pPr>
            <w:r>
              <w:rPr>
                <w:rFonts w:ascii="Arial" w:cs="Arial" w:eastAsia="Arial" w:hAnsi="Arial"/>
                <w:b w:val="false"/>
                <w:bCs w:val="false"/>
                <w:sz w:val="18"/>
                <w:szCs w:val="18"/>
                <w:highlight w:val="yellow"/>
                <w:highlightCs w:val="yellow"/>
              </w:rPr>
              <w:t xml:space="preserve">…</w:t>
            </w:r>
          </w:p>
        </w:tc>
        <w:tc>
          <w:tcPr>
            <w:tcW w:type="dxa" w:w="2100"/>
            <w:tcBorders>
              <w:top w:val="none" w:color="FFFFFF" w:sz="0"/>
              <w:left w:val="none" w:color="FFFFFF" w:sz="0"/>
              <w:bottom w:val="single" w:color="000000" w:sz="6"/>
              <w:right w:val="none" w:color="FFFFFF" w:sz="0"/>
            </w:tcBorders>
            <w:tcMar>
              <w:top w:type="dxa" w:w="50"/>
              <w:left w:type="dxa" w:w="70"/>
              <w:bottom w:type="dxa" w:w="50"/>
              <w:right w:type="dxa" w:w="70"/>
            </w:tcMar>
          </w:tcPr>
          <w:p>
            <w:pPr>
              <w:jc w:val="center"/>
            </w:pPr>
            <w:r>
              <w:rPr>
                <w:rFonts w:ascii="Arial" w:cs="Arial" w:eastAsia="Arial" w:hAnsi="Arial"/>
                <w:b w:val="false"/>
                <w:bCs w:val="false"/>
                <w:sz w:val="18"/>
                <w:szCs w:val="18"/>
                <w:highlight w:val="yellow"/>
                <w:highlightCs w:val="yellow"/>
              </w:rPr>
              <w:t xml:space="preserve">…</w:t>
            </w:r>
          </w:p>
        </w:tc>
        <w:tc>
          <w:tcPr>
            <w:tcW w:type="dxa" w:w="1560"/>
            <w:tcBorders>
              <w:top w:val="none" w:color="FFFFFF" w:sz="0"/>
              <w:left w:val="none" w:color="FFFFFF" w:sz="0"/>
              <w:bottom w:val="single" w:color="000000" w:sz="6"/>
              <w:right w:val="none" w:color="FFFFFF" w:sz="0"/>
            </w:tcBorders>
            <w:tcMar>
              <w:top w:type="dxa" w:w="50"/>
              <w:left w:type="dxa" w:w="70"/>
              <w:bottom w:type="dxa" w:w="50"/>
              <w:right w:type="dxa" w:w="70"/>
            </w:tcMar>
          </w:tcPr>
          <w:p>
            <w:pPr>
              <w:jc w:val="center"/>
            </w:pPr>
            <w:r>
              <w:rPr>
                <w:rFonts w:ascii="Arial" w:cs="Arial" w:eastAsia="Arial" w:hAnsi="Arial"/>
                <w:b w:val="false"/>
                <w:bCs w:val="false"/>
                <w:sz w:val="18"/>
                <w:szCs w:val="18"/>
                <w:highlight w:val="yellow"/>
                <w:highlightCs w:val="yellow"/>
              </w:rPr>
              <w:t xml:space="preserve">…</w:t>
            </w:r>
          </w:p>
        </w:tc>
        <w:tc>
          <w:tcPr>
            <w:tcW w:type="dxa" w:w="1600"/>
            <w:tcBorders>
              <w:top w:val="none" w:color="FFFFFF" w:sz="0"/>
              <w:left w:val="none" w:color="FFFFFF" w:sz="0"/>
              <w:bottom w:val="single" w:color="000000" w:sz="6"/>
              <w:right w:val="none" w:color="FFFFFF" w:sz="0"/>
            </w:tcBorders>
            <w:tcMar>
              <w:top w:type="dxa" w:w="50"/>
              <w:left w:type="dxa" w:w="70"/>
              <w:bottom w:type="dxa" w:w="50"/>
              <w:right w:type="dxa" w:w="70"/>
            </w:tcMar>
          </w:tcPr>
          <w:p>
            <w:pPr>
              <w:jc w:val="center"/>
            </w:pPr>
            <w:r>
              <w:rPr>
                <w:rFonts w:ascii="Arial" w:cs="Arial" w:eastAsia="Arial" w:hAnsi="Arial"/>
                <w:b w:val="false"/>
                <w:bCs w:val="false"/>
                <w:sz w:val="18"/>
                <w:szCs w:val="18"/>
                <w:highlight w:val="yellow"/>
                <w:highlightCs w:val="yellow"/>
              </w:rPr>
              <w:t xml:space="preserve">…</w:t>
            </w:r>
          </w:p>
        </w:tc>
      </w:tr>
    </w:tbl>
    <w:p>
      <w:pPr>
        <w:spacing w:after="160" w:before="60" w:line="240"/>
        <w:jc w:val="center"/>
      </w:pPr>
      <w:r>
        <w:rPr>
          <w:rFonts w:ascii="Arial" w:cs="Arial" w:eastAsia="Arial" w:hAnsi="Arial"/>
          <w:b w:val="false"/>
          <w:bCs w:val="false"/>
          <w:sz w:val="20"/>
          <w:szCs w:val="20"/>
        </w:rPr>
        <w:t xml:space="preserve">Fonte: os autores.</w:t>
      </w:r>
    </w:p>
    <w:p>
      <w:pPr>
        <w:spacing w:after="120" w:line="240"/>
        <w:jc w:val="center"/>
      </w:pPr>
      <w:r>
        <w:rPr>
          <w:rFonts w:ascii="Arial" w:cs="Arial" w:eastAsia="Arial" w:hAnsi="Arial"/>
          <w:b w:val="false"/>
          <w:bCs w:val="false"/>
          <w:sz w:val="20"/>
          <w:szCs w:val="20"/>
          <w:highlight w:val="yellow"/>
          <w:highlightCs w:val="yellow"/>
        </w:rPr>
        <w:t xml:space="preserve">Figura 1 – Espectro de um tom puro com as janelas retangular, Hanning e Hamming (inserir imagem exportada do sistema).</w:t>
      </w:r>
    </w:p>
    <w:p>
      <w:pPr>
        <w:spacing w:line="240"/>
        <w:jc w:val="center"/>
      </w:pPr>
      <w:r>
        <w:rPr>
          <w:rFonts w:ascii="Arial" w:cs="Arial" w:eastAsia="Arial" w:hAnsi="Arial"/>
          <w:b w:val="false"/>
          <w:bCs w:val="false"/>
          <w:sz w:val="20"/>
          <w:szCs w:val="20"/>
          <w:highlight w:val="yellow"/>
          <w:highlightCs w:val="yellow"/>
        </w:rPr>
        <w:t xml:space="preserve">Figura 2 – Tempo de cálculo da DFT e da FFT em função de N (inserir gráfico do benchmark).</w:t>
      </w:r>
    </w:p>
    <w:p>
      <w:pPr>
        <w:keepNext/>
        <w:spacing w:after="230" w:before="230" w:line="240"/>
      </w:pPr>
      <w:r>
        <w:rPr>
          <w:rFonts w:ascii="Arial" w:cs="Arial" w:eastAsia="Arial" w:hAnsi="Arial"/>
          <w:b/>
          <w:bCs/>
          <w:sz w:val="20"/>
          <w:szCs w:val="20"/>
        </w:rPr>
        <w:t xml:space="preserve">Discussão</w:t>
      </w:r>
    </w:p>
    <w:p>
      <w:pPr>
        <w:spacing w:line="240"/>
        <w:ind w:firstLine="444"/>
        <w:jc w:val="both"/>
      </w:pPr>
      <w:r>
        <w:rPr>
          <w:rFonts w:ascii="Arial" w:cs="Arial" w:eastAsia="Arial" w:hAnsi="Arial"/>
          <w:b w:val="false"/>
          <w:bCs w:val="false"/>
          <w:sz w:val="20"/>
          <w:szCs w:val="20"/>
          <w:highlight w:val="yellow"/>
          <w:highlightCs w:val="yellow"/>
        </w:rPr>
        <w:t xml:space="preserve">PREENCHER com base nos resultados. Pontos a discutir: se o erro do pico ficou dentro de fs/N; como cada janela alterou o vazamento e a largura do lóbulo principal, comparando com Harris (1978); se a diferença de tempo entre DFT e FFT acompanhou a previsão de N² contra N log N; e se o tempo de resposta atendeu à meta de 2 s.</w:t>
      </w:r>
    </w:p>
    <w:p>
      <w:pPr>
        <w:spacing w:line="240"/>
        <w:ind w:firstLine="444"/>
        <w:jc w:val="both"/>
      </w:pPr>
      <w:r>
        <w:rPr>
          <w:rFonts w:ascii="Arial" w:cs="Arial" w:eastAsia="Arial" w:hAnsi="Arial"/>
          <w:b w:val="false"/>
          <w:bCs w:val="false"/>
          <w:sz w:val="20"/>
          <w:szCs w:val="20"/>
        </w:rPr>
        <w:t xml:space="preserve">Como limitações do sistema, destacam-se: a aceitação apenas de arquivos WAV PCM de 16 bits; o uso local por um único usuário, sem autenticação; e o fato de o espectro médio de até 256 blocos não evidenciar variações de curta duração do sinal. Como trabalhos futuros, podem ser considerados outros formatos de áudio, sobreposição entre blocos e captura de áudio em tempo real.</w:t>
      </w:r>
    </w:p>
    <w:p>
      <w:pPr>
        <w:keepNext/>
        <w:spacing w:after="230" w:before="230" w:line="240"/>
      </w:pPr>
      <w:r>
        <w:rPr>
          <w:rFonts w:ascii="Arial" w:cs="Arial" w:eastAsia="Arial" w:hAnsi="Arial"/>
          <w:b/>
          <w:bCs/>
          <w:sz w:val="20"/>
          <w:szCs w:val="20"/>
        </w:rPr>
        <w:t xml:space="preserve">Conclusão</w:t>
      </w:r>
    </w:p>
    <w:p>
      <w:pPr>
        <w:spacing w:line="240"/>
        <w:ind w:firstLine="444"/>
        <w:jc w:val="both"/>
      </w:pPr>
      <w:r>
        <w:rPr>
          <w:rFonts w:ascii="Arial" w:cs="Arial" w:eastAsia="Arial" w:hAnsi="Arial"/>
          <w:b w:val="false"/>
          <w:bCs w:val="false"/>
          <w:sz w:val="20"/>
          <w:szCs w:val="20"/>
          <w:highlight w:val="yellow"/>
          <w:highlightCs w:val="yellow"/>
        </w:rPr>
        <w:t xml:space="preserve">PREENCHER ao final do projeto: retomar o objetivo, dizer se foi atingido e citar os principais números obtidos (erro do pico, ganho de tempo da FFT sobre a DFT e tempo de resposta).</w:t>
      </w:r>
    </w:p>
    <w:p>
      <w:pPr>
        <w:keepNext/>
        <w:spacing w:after="230" w:before="230" w:line="240"/>
      </w:pPr>
      <w:r>
        <w:rPr>
          <w:rFonts w:ascii="Arial" w:cs="Arial" w:eastAsia="Arial" w:hAnsi="Arial"/>
          <w:b/>
          <w:bCs/>
          <w:sz w:val="20"/>
          <w:szCs w:val="20"/>
        </w:rPr>
        <w:t xml:space="preserve">Referências</w:t>
      </w:r>
    </w:p>
    <w:p>
      <w:pPr>
        <w:spacing w:after="230" w:line="240"/>
      </w:pPr>
      <w:r>
        <w:rPr>
          <w:rFonts w:ascii="Arial" w:cs="Arial" w:eastAsia="Arial" w:hAnsi="Arial"/>
          <w:b w:val="false"/>
          <w:bCs w:val="false"/>
          <w:sz w:val="20"/>
          <w:szCs w:val="20"/>
        </w:rPr>
        <w:t xml:space="preserve">COOLEY, J. W.; TUKEY, J. W. An algorithm for the machine calculation of complex Fourier series. Mathematics of Computation, v. 19, n. 90, p. 297-301, 1965.</w:t>
      </w:r>
    </w:p>
    <w:p>
      <w:pPr>
        <w:spacing w:after="230" w:line="240"/>
      </w:pPr>
      <w:r>
        <w:rPr>
          <w:rFonts w:ascii="Arial" w:cs="Arial" w:eastAsia="Arial" w:hAnsi="Arial"/>
          <w:b w:val="false"/>
          <w:bCs w:val="false"/>
          <w:sz w:val="20"/>
          <w:szCs w:val="20"/>
        </w:rPr>
        <w:t xml:space="preserve">HARRIS, C. R. et al. Array programming with NumPy. Nature, v. 585, p. 357-362, 2020.</w:t>
      </w:r>
    </w:p>
    <w:p>
      <w:pPr>
        <w:spacing w:after="230" w:line="240"/>
      </w:pPr>
      <w:r>
        <w:rPr>
          <w:rFonts w:ascii="Arial" w:cs="Arial" w:eastAsia="Arial" w:hAnsi="Arial"/>
          <w:b w:val="false"/>
          <w:bCs w:val="false"/>
          <w:sz w:val="20"/>
          <w:szCs w:val="20"/>
        </w:rPr>
        <w:t xml:space="preserve">HARRIS, F. J. On the use of windows for harmonic analysis with the discrete Fourier transform. Proceedings of the IEEE, v. 66, n. 1, p. 51-83, 1978.</w:t>
      </w:r>
    </w:p>
    <w:p>
      <w:pPr>
        <w:spacing w:after="230" w:line="240"/>
      </w:pPr>
      <w:r>
        <w:rPr>
          <w:rFonts w:ascii="Arial" w:cs="Arial" w:eastAsia="Arial" w:hAnsi="Arial"/>
          <w:b w:val="false"/>
          <w:bCs w:val="false"/>
          <w:sz w:val="20"/>
          <w:szCs w:val="20"/>
        </w:rPr>
        <w:t xml:space="preserve">OPPENHEIM, A. V.; SCHAFER, R. W. Discrete-Time Signal Processing. 3. ed. Upper Saddle River: Pearson, 2010.</w:t>
      </w:r>
    </w:p>
    <w:p>
      <w:pPr>
        <w:spacing w:after="230" w:line="240"/>
      </w:pPr>
      <w:r>
        <w:rPr>
          <w:rFonts w:ascii="Arial" w:cs="Arial" w:eastAsia="Arial" w:hAnsi="Arial"/>
          <w:b w:val="false"/>
          <w:bCs w:val="false"/>
          <w:sz w:val="20"/>
          <w:szCs w:val="20"/>
        </w:rPr>
        <w:t xml:space="preserve">PALLETS PROJECTS. Flask documentation. Disponível em: https://flask.palletsprojects.com. Acesso em: 20 set. 2026.</w:t>
      </w:r>
    </w:p>
    <w:p>
      <w:pPr>
        <w:spacing w:after="230" w:line="240"/>
      </w:pPr>
      <w:r>
        <w:rPr>
          <w:rFonts w:ascii="Arial" w:cs="Arial" w:eastAsia="Arial" w:hAnsi="Arial"/>
          <w:b w:val="false"/>
          <w:bCs w:val="false"/>
          <w:sz w:val="20"/>
          <w:szCs w:val="20"/>
        </w:rPr>
        <w:t xml:space="preserve">PLOTLY. Plotly JavaScript open source graphing library. Disponível em: https://plotly.com/javascript/. Acesso em: 20 set. 2026.</w:t>
      </w:r>
    </w:p>
    <w:p>
      <w:pPr>
        <w:spacing w:after="230" w:line="240"/>
      </w:pPr>
      <w:r>
        <w:rPr>
          <w:rFonts w:ascii="Arial" w:cs="Arial" w:eastAsia="Arial" w:hAnsi="Arial"/>
          <w:b w:val="false"/>
          <w:bCs w:val="false"/>
          <w:sz w:val="20"/>
          <w:szCs w:val="20"/>
        </w:rPr>
        <w:t xml:space="preserve">PYTHON SOFTWARE FOUNDATION. wave: read and write WAV files. Disponível em: https://docs.python.org/3/library/wave.html. Acesso em: 20 set. 2026.</w:t>
      </w:r>
    </w:p>
    <w:p>
      <w:pPr>
        <w:spacing w:after="230" w:line="240"/>
      </w:pPr>
      <w:r>
        <w:rPr>
          <w:rFonts w:ascii="Arial" w:cs="Arial" w:eastAsia="Arial" w:hAnsi="Arial"/>
          <w:b w:val="false"/>
          <w:bCs w:val="false"/>
          <w:sz w:val="20"/>
          <w:szCs w:val="20"/>
        </w:rPr>
        <w:t xml:space="preserve">SHANNON, C. E. Communication in the presence of noise. Proceedings of the IRE, v. 37, n. 1, p. 10-21, 1949.</w:t>
      </w:r>
    </w:p>
    <w:p>
      <w:pPr>
        <w:spacing w:after="230" w:line="240"/>
      </w:pPr>
      <w:r>
        <w:rPr>
          <w:rFonts w:ascii="Arial" w:cs="Arial" w:eastAsia="Arial" w:hAnsi="Arial"/>
          <w:b w:val="false"/>
          <w:bCs w:val="false"/>
          <w:sz w:val="20"/>
          <w:szCs w:val="20"/>
        </w:rPr>
        <w:t xml:space="preserve">SQLALCHEMY. SQLAlchemy documentation. Disponível em: https://docs.sqlalchemy.org. Acesso em: 20 set. 2026.</w:t>
      </w:r>
    </w:p>
    <w:p>
      <w:pPr>
        <w:spacing w:after="230" w:line="240"/>
      </w:pPr>
      <w:r>
        <w:rPr>
          <w:rFonts w:ascii="Arial" w:cs="Arial" w:eastAsia="Arial" w:hAnsi="Arial"/>
          <w:b w:val="false"/>
          <w:bCs w:val="false"/>
          <w:sz w:val="20"/>
          <w:szCs w:val="20"/>
        </w:rPr>
        <w:t xml:space="preserve">VIRTANEN, P. et al. SciPy 1.0: fundamental algorithms for scientific computing in Python. Nature Methods, v. 17, p. 261-272, 2020.</w:t>
      </w:r>
    </w:p>
    <w:sectPr>
      <w:headerReference w:type="default" r:id="rId7"/>
      <w:footerReference w:type="default" r:id="rId8"/>
      <w:pgSz w:w="11906" w:h="16838" w:orient="portrait"/>
      <w:pgMar w:top="2380" w:right="1134" w:bottom="1700" w:left="1701" w:header="0" w:footer="7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tabs>
        <w:tab w:val="right" w:pos="9260"/>
      </w:tabs>
      <w:spacing w:line="240"/>
    </w:pPr>
    <w:r>
      <w:rPr>
        <w:rFonts w:ascii="Arial" w:cs="Arial" w:eastAsia="Arial" w:hAnsi="Arial"/>
        <w:sz w:val="18"/>
        <w:szCs w:val="18"/>
      </w:rPr>
      <w:t xml:space="preserve">XXX Encontro Latino Americano de Iniciação Científica, XXVI Encontro Latino Americano de Pós-Graduação e</w:t>
    </w:r>
    <w:r>
      <w:rPr>
        <w:rFonts w:ascii="Arial" w:cs="Arial" w:eastAsia="Arial" w:hAnsi="Arial"/>
        <w:sz w:val="18"/>
        <w:szCs w:val="18"/>
      </w:rPr>
      <w:t xml:space="preserve">	</w:t>
      <w:fldChar w:fldCharType="begin"/>
      <w:instrText xml:space="preserve">PAGE</w:instrText>
      <w:fldChar w:fldCharType="separate"/>
      <w:fldChar w:fldCharType="end"/>
    </w:r>
  </w:p>
  <w:p>
    <w:pPr>
      <w:spacing w:line="240"/>
    </w:pPr>
    <w:r>
      <w:rPr>
        <w:rFonts w:ascii="Arial" w:cs="Arial" w:eastAsia="Arial" w:hAnsi="Arial"/>
        <w:sz w:val="18"/>
        <w:szCs w:val="18"/>
      </w:rPr>
      <w:t xml:space="preserve">XVI Encontro de Iniciação à Docência - Universidade do Vale do Paraíba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ind w:left="-1701"/>
    </w:pPr>
    <w:r>
      <w:drawing>
        <wp:inline distT="0" distB="0" distL="0" distR="0">
          <wp:extent cx="7553325" cy="714375"/>
          <wp:effectExtent t="0" r="0" b="0" l="0"/>
          <wp:docPr id="1" name="banner" descr="Faixa superior do modelo de artigo do INIC 2026" title="Banner INIC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53325" cy="7143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f554c4e7a40fb1422fbd4df188527677f714313.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ANALISADOR ESPECTRAL DE ÁUDIO: DESENVOLVIMENTO E VALIDAÇÃO DE UM SISTEMA WEB BASEADO EM FFT E JANELAMENTO</dc:title>
  <dc:creator>Eduardo Peron; Gustavo Albano Nunes</dc:creator>
  <cp:lastModifiedBy>Un-named</cp:lastModifiedBy>
  <cp:revision>1</cp:revision>
  <dcterms:created xsi:type="dcterms:W3CDTF">2026-09-20T21:48:31.467Z</dcterms:created>
  <dcterms:modified xsi:type="dcterms:W3CDTF">2026-09-20T21:48:31.475Z</dcterms:modified>
</cp:coreProperties>
</file>

<file path=docProps/custom.xml><?xml version="1.0" encoding="utf-8"?>
<Properties xmlns="http://schemas.openxmlformats.org/officeDocument/2006/custom-properties" xmlns:vt="http://schemas.openxmlformats.org/officeDocument/2006/docPropsVTypes"/>
</file>