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EE68" w14:textId="0006BFDD" w:rsidR="006D0C90" w:rsidRDefault="00E83B50" w:rsidP="00E83B50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83B5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Estudo de caso sobre os principais usos de fitoterápicos a fim de proporcionar uma melhor qualidade de vida</w:t>
      </w:r>
    </w:p>
    <w:p w14:paraId="1DFB3EF4" w14:textId="1EABCF0F" w:rsidR="00E83B50" w:rsidRPr="00E83B50" w:rsidRDefault="00E83B50" w:rsidP="00E83B50">
      <w:pPr>
        <w:spacing w:before="100" w:beforeAutospacing="1" w:after="100" w:afterAutospacing="1"/>
        <w:jc w:val="righ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E83B5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BROCK, Gustavo Felipe</w:t>
      </w:r>
    </w:p>
    <w:p w14:paraId="0A45A3A1" w14:textId="77777777" w:rsidR="00E83B50" w:rsidRPr="00E83B50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:lang w:eastAsia="en-US"/>
          <w14:ligatures w14:val="standardContextual"/>
        </w:rPr>
        <w:id w:val="-2761795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8CFCB1E" w14:textId="44057796" w:rsidR="006D0C90" w:rsidRPr="00E83B50" w:rsidRDefault="006D0C90" w:rsidP="00E83B50">
          <w:pPr>
            <w:pStyle w:val="CabealhodoSumrio"/>
            <w:jc w:val="both"/>
            <w:rPr>
              <w:rFonts w:ascii="Arial" w:hAnsi="Arial" w:cs="Arial"/>
              <w:sz w:val="24"/>
              <w:szCs w:val="24"/>
            </w:rPr>
          </w:pPr>
          <w:r w:rsidRPr="00E83B50">
            <w:rPr>
              <w:rFonts w:ascii="Arial" w:hAnsi="Arial" w:cs="Arial"/>
              <w:sz w:val="24"/>
              <w:szCs w:val="24"/>
            </w:rPr>
            <w:t>Sumário</w:t>
          </w:r>
        </w:p>
        <w:p w14:paraId="5A4BA41F" w14:textId="5414A9D2" w:rsidR="00E83B50" w:rsidRPr="00E83B50" w:rsidRDefault="006D0C90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r w:rsidRPr="00E83B50">
            <w:rPr>
              <w:rFonts w:ascii="Arial" w:hAnsi="Arial" w:cs="Arial"/>
              <w:sz w:val="20"/>
              <w:szCs w:val="20"/>
            </w:rPr>
            <w:fldChar w:fldCharType="begin"/>
          </w:r>
          <w:r w:rsidRPr="00E83B5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E83B5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92539050" w:history="1">
            <w:r w:rsidR="00E83B50"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 xml:space="preserve">SINERGIA FORTE (5) – COMBINAÇÕES ALTAMENTE SINÉRGICAS </w:t>
            </w:r>
            <w:r w:rsidR="00E83B50" w:rsidRPr="00E83B5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sz w:val="20"/>
                <w:szCs w:val="20"/>
                <w:lang w:eastAsia="pt-BR"/>
              </w:rPr>
              <w:t>🔵🔵🔵🔵🔵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_Toc192539050 \h </w:instrTex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E4216A" w14:textId="53C7B22F" w:rsidR="00E83B50" w:rsidRPr="00E83B50" w:rsidRDefault="00000000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hyperlink w:anchor="_Toc192539051" w:history="1">
            <w:r w:rsidR="00E83B50"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 xml:space="preserve">COMPLEMENTAR (4) – EFEITOS ADITIVOS OU COMPLEMENTARES </w:t>
            </w:r>
            <w:r w:rsidR="00E83B50" w:rsidRPr="00E83B5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sz w:val="20"/>
                <w:szCs w:val="20"/>
                <w:lang w:eastAsia="pt-BR"/>
              </w:rPr>
              <w:t>🔵🔵🔵🔵⚪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_Toc192539051 \h </w:instrTex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E2A56B" w14:textId="70CC3FB1" w:rsidR="00E83B50" w:rsidRPr="00E83B50" w:rsidRDefault="00000000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hyperlink w:anchor="_Toc192539052" w:history="1">
            <w:r w:rsidR="00E83B50"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 xml:space="preserve">Neutro (3) – Combinações de efeito indiferente </w:t>
            </w:r>
            <w:r w:rsidR="00E83B50" w:rsidRPr="00E83B5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sz w:val="20"/>
                <w:szCs w:val="20"/>
                <w:lang w:eastAsia="pt-BR"/>
              </w:rPr>
              <w:t>⚪⚪⚪⚪⚪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_Toc192539052 \h </w:instrTex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F0BF68" w14:textId="73570532" w:rsidR="00E83B50" w:rsidRPr="00E83B50" w:rsidRDefault="00000000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hyperlink w:anchor="_Toc192539053" w:history="1">
            <w:r w:rsidR="00E83B50"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 xml:space="preserve">LEVE ANTAGONISMO (2) – COMBINAÇÕES COM ATENUAÇÃO DE EFEITOS </w:t>
            </w:r>
            <w:r w:rsidR="00E83B50" w:rsidRPr="00E83B5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sz w:val="20"/>
                <w:szCs w:val="20"/>
                <w:lang w:eastAsia="pt-BR"/>
              </w:rPr>
              <w:t>🔴🔴⚪⚪⚪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_Toc192539053 \h </w:instrTex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EBC1D7" w14:textId="48559E8E" w:rsidR="00E83B50" w:rsidRPr="00E83B50" w:rsidRDefault="00000000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hyperlink w:anchor="_Toc192539054" w:history="1">
            <w:r w:rsidR="00E83B50"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 xml:space="preserve">ANTAGONISMO FORTE (1) – COMBINAÇÕES OPOSTAS OU CONFLITANTES </w:t>
            </w:r>
            <w:r w:rsidR="00E83B50" w:rsidRPr="00E83B5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sz w:val="20"/>
                <w:szCs w:val="20"/>
                <w:lang w:eastAsia="pt-BR"/>
              </w:rPr>
              <w:t>🔴⚪⚪⚪⚪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_Toc192539054 \h </w:instrTex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780C67" w14:textId="4B2ED25C" w:rsidR="00E83B50" w:rsidRPr="00E83B50" w:rsidRDefault="00000000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hyperlink w:anchor="_Toc192539055" w:history="1">
            <w:r w:rsidR="00E83B50"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 xml:space="preserve">NÃO SEGURO (0) – COMBINAÇÕES DESACONSELHADAS POR RISCO </w:t>
            </w:r>
            <w:r w:rsidR="00E83B50" w:rsidRPr="00E83B5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sz w:val="20"/>
                <w:szCs w:val="20"/>
                <w:lang w:eastAsia="pt-BR"/>
              </w:rPr>
              <w:t>⚫⚫⚫⚫⚫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_Toc192539055 \h </w:instrTex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80A735" w14:textId="0897102D" w:rsidR="00E83B50" w:rsidRPr="00E83B50" w:rsidRDefault="00E83B50" w:rsidP="00E83B50">
          <w:pPr>
            <w:pStyle w:val="Sumrio3"/>
            <w:tabs>
              <w:tab w:val="right" w:leader="dot" w:pos="9061"/>
            </w:tabs>
            <w:ind w:left="0"/>
            <w:jc w:val="both"/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r>
            <w:rPr>
              <w:rStyle w:val="Hyperlink"/>
              <w:rFonts w:ascii="Arial" w:hAnsi="Arial" w:cs="Arial"/>
              <w:noProof/>
              <w:sz w:val="20"/>
              <w:szCs w:val="20"/>
            </w:rPr>
            <w:t xml:space="preserve">    </w:t>
          </w:r>
          <w:hyperlink w:anchor="_Toc192539056" w:history="1">
            <w:r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>REFERÊNCIAS</w:t>
            </w:r>
            <w:r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_Toc192539056 \h </w:instrText>
            </w:r>
            <w:r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9B6349" w14:textId="1111449F" w:rsidR="00E83B50" w:rsidRPr="00E83B50" w:rsidRDefault="00000000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pt-BR"/>
              <w14:ligatures w14:val="none"/>
            </w:rPr>
          </w:pPr>
          <w:hyperlink w:anchor="_Toc192539057" w:history="1">
            <w:r w:rsidR="00E83B50" w:rsidRPr="00E83B50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t>ANEXO A - POSSÍVEIS COMBINAÇÕES DE FITOTERAPICOS.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_Toc192539057 \h </w:instrTex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t>13</w:t>
            </w:r>
            <w:r w:rsidR="00E83B50" w:rsidRPr="00E83B5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F3DEE6" w14:textId="503CC8DA" w:rsidR="006D0C90" w:rsidRPr="00E83B50" w:rsidRDefault="006D0C90" w:rsidP="00E83B50">
          <w:pPr>
            <w:jc w:val="both"/>
          </w:pPr>
          <w:r w:rsidRPr="00E83B5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3C94F0A8" w14:textId="77777777" w:rsidR="006D0C90" w:rsidRDefault="006D0C9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</w:p>
    <w:p w14:paraId="79A4A8B4" w14:textId="08B53F12" w:rsidR="00145CF2" w:rsidRPr="00145CF2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INTRODUÇÃO: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Esta pesquisa analisou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44 plantas medicinais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quanto à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compatibilidade de uso em combinações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com base em documentos oficiais brasileiros (Farmacopeia Brasileira, Formulário de Fitoterápicos, ANVISA, Ministério da Saúde) e literatura científica (SciELO, </w:t>
      </w:r>
      <w:proofErr w:type="spellStart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PubMed</w:t>
      </w:r>
      <w:proofErr w:type="spellEnd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) dos últimos 10 anos. As plantas incluem desde calmantes (</w:t>
      </w:r>
      <w:proofErr w:type="spellStart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</w:t>
      </w:r>
      <w:r w:rsidR="00145CF2"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Camomila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145CF2"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Melissa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145CF2"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Valeriana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até estimulantes e </w:t>
      </w:r>
      <w:proofErr w:type="spellStart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adaptógenos</w:t>
      </w:r>
      <w:proofErr w:type="spellEnd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="00145CF2"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145CF2"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Guaraná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="00145CF2"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Rhodiola</w:t>
      </w:r>
      <w:proofErr w:type="spellEnd"/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), passando por anti-inflamatórias, imunoestimulantes e moduladoras hormonais. Cada par de plantas foi categorizado em uma escala de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 a 5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conforme a interação esperada: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5 = Sinergia Forte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4 = Complementar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3 = Neutro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2 = Antagonismo Leve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1 = Antagonismo Forte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 = Não seguro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Consideraram-se os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efeitos primários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(principais ações terapêuticas) e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secundários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cada espécie,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contraindicações conhecidas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possíveis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interações farmacológicas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Adicionalmente, aplicou-se a perspectiva energética de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Yin-Yang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dos </w:t>
      </w:r>
      <w:r w:rsidR="00145CF2"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temperamentos hipocráticos</w:t>
      </w:r>
      <w:r w:rsidR="00145CF2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(fleumático, colérico, sanguíneo, melancólico) para interpretar se as combinações tendem a equilibrar ou exacerbar os perfis de constituição. Os resultados são apresentados a seguir de forma estruturada, destacando exemplos de combinações em cada categoria e sua pontuação correspondente, seguidos de uma síntese em formato de planilha.</w:t>
      </w:r>
    </w:p>
    <w:p w14:paraId="3CE8FEBF" w14:textId="7268FD32" w:rsidR="00145CF2" w:rsidRPr="00145CF2" w:rsidRDefault="006D0C90" w:rsidP="00E83B50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0" w:name="_Toc192539050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SINERGIA FORTE (5) – COMBINAÇÕES ALTAMENTE SINÉRGICAS </w:t>
      </w:r>
      <w:r w:rsidRPr="00145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🔵🔵🔵🔵🔵</w:t>
      </w:r>
      <w:bookmarkEnd w:id="0"/>
    </w:p>
    <w:p w14:paraId="5181BAE1" w14:textId="3389A7B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Combinações classificadas com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5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apresentam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potencialização clara dos efeitos terapêuticos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ambas as plantas. Em geral, ocorrem entre ervas de ações semelhantes (reforçando mutuamente o efeito) ou de ações diferentes, porém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complementares para a mesma finalidade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Estudos clínicos e tradicionais confirmam a eficácia superior dessas associações em comparação ao uso isolado.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Exemplos:</w:t>
      </w:r>
    </w:p>
    <w:p w14:paraId="782660BC" w14:textId="77777777" w:rsidR="00B63448" w:rsidRDefault="00145CF2" w:rsidP="00E83B50">
      <w:pPr>
        <w:spacing w:beforeAutospacing="1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Valeriana + Lúpulo + Passiflora: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combinação de sedativos utilizada para insônia – um estudo clínico mostrou que a fórmula contendo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Valeriana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officinalis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Humulus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lupulus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(lúpulo) 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lastRenderedPageBreak/>
        <w:t xml:space="preserve">Passiflora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incarnata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foi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tão eficaz quanto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zolpidem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(fármaco hipnótico) no tratamento da insônia crônica, melhorando a duração e qualidade do sono sem eventos adversos significativos​</w:t>
      </w: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Essa sinergia forte ocorre porque os três fitoterápicos atuam em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mecanismos complementares do sistema GABA e receptores de benzodiazepínicos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promovendo relaxamento e indução do sono de forma somatória.</w:t>
      </w:r>
    </w:p>
    <w:p w14:paraId="2B4D7F7B" w14:textId="735A08D4" w:rsidR="00B63448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Passiflora + Valeriana: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dupla ansiolítica/sedativa clássica. Estudos pré-clínicos e clínicos indicam que extratos combinados de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Passiflora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incarnata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(Maracujá) 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Valeriana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officinalis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produzem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efeito ansiolítico superior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ao placebo​.</w:t>
      </w:r>
      <w:r w:rsidR="00B63448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Bourin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et al. (1997) observaram eficácia clínica dessa associação em pacientes com transtorno de ansiedade, reforçando que as duas plantas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 potencializam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no alívio da tensão e indução de calma​. Portanto, é uma sinergia forte (5) – frequentemente empregada em fitoterápicos compostos para ansiedade e insônia.</w:t>
      </w:r>
    </w:p>
    <w:p w14:paraId="12DD4043" w14:textId="676E178E" w:rsid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Camomila + Melissa + Erva-cidreira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Lippia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alba):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combinação de três ervas calmantes e digestivas, presente na medicina popular para ansiedade leve, cólicas e insônia. Essas plantas compartilham constituição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Yin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(energia refrescante/tranquilizante) e temperamento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sanguíneo-fleumático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de modo que juntas promovem relaxamento do sistema nervoso e do trato gastrointestinal. Fontes populares sugerem que misturas como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Camomila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Jasmim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Melissa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Lippia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produzem um efeito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calmante profundo e indutor de sono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maior que o uso individual​. Assim, essa associação merece nota 5 em sinergia, pois une os óleos essenciais sedativos da melissa e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lippia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 os compostos calmantes da camomila, somando efeitos ansiolíticos e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espasmolíticos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(melhora da qualidade do sono e redução de sintomas físicos da ansiedade).</w:t>
      </w:r>
    </w:p>
    <w:p w14:paraId="01A24C21" w14:textId="0D5E9E66" w:rsidR="00145CF2" w:rsidRPr="00B63448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Biloba +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Panax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combinação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nootrópica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e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adaptogênica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para melhorar cognição e vitalidade. O clássico par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foi estudado em ensaios clínicos e demonstrou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melhora significativa da memória e função mental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em comparação ao placebo​. Em um estudo com adultos de meia-idade, a associação dos dois extratos elevou o índice de qualidade de memória em ~7,5%, efeito superior ao obtido com cada um isoladamente​. A explicação está na sinergia complementar: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(Yang, de natureza estimulante) eleva a disposição e reduz o estresse, enquanto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(ligeiramente Yang porém refrescante para a mente) aumenta a circulação cerebral e a entrega de oxigênio/nutrientes​​. Juntos,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aprimoram o desempenho cognitivo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(foco, memória de trabalho e longo prazo) de forma segura, merecendo pontuação 5.</w:t>
      </w:r>
    </w:p>
    <w:p w14:paraId="4E65FE54" w14:textId="026DFED1" w:rsid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Echinacea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+ Sabugueiro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Elderberry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dupla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imunoestimulante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utilizada em prevenção e tratamento de gripes.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Echinacea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purpurea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estimula diversas componentes da imunidade inata, enquanto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Sambucus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nigra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(sabugueiro) tem potente ação antiviral e anti-inflamatória nas vias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respiratórias. Estudos reportam que 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combinação dessas duas plantas pode ser tão eficaz quanto os antivirais convencionais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oseltamivir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para reduzir a duração e gravidade de sintomas gripais​. Um ensaio clínico com 473 pacientes mostrou que o extrato quente de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equinácea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 sabugueiro encurtou o curso da gripe de forma equivalente ao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Tamiflu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sem os efeitos colaterais deste​. Portanto, é uma sinergia forte (5) no reforço imunológico – as ações antivirais do sabugueiro e estimulantes de imunidade da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equinácea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se somam, proporcionando amplo combate ao vírus e alívio sintomático.</w:t>
      </w:r>
    </w:p>
    <w:p w14:paraId="0201AD31" w14:textId="472DBC78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Outros exemplos de Sinergia 5: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Melissa + Camomila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(ansiolíticas complementares),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Mulungu + Passiflora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(dois calmantes usados em conjunto para potencializar sedação),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Cúrcuma + Gengibre/Canela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(combinação anti-inflamatória tradicional; cúrcuma modulando NF-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κB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canela/ginger melhorando digestão e circulação – conjunto amplifica efeito anti-inflamatório​),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Maca + Marapuama +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(estimulantes físicos/sexuais, frequentemente associados em tônicos –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fórmulas afrodisíacas incluem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Marapuama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Catuaba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para somar efeitos de melhora de libido e desempenho​). Em geral,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ervas com propriedades e “temperatura” semelhantes (ambas mornas Yang ou ambas frias Yin, quando indicado para determinado desequilíbrio)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tendem a exibir sinergia forte, intensificando o efeito terapêutico desejado.</w:t>
      </w:r>
    </w:p>
    <w:p w14:paraId="155DD3CC" w14:textId="6A264E99" w:rsidR="00145CF2" w:rsidRPr="00145CF2" w:rsidRDefault="006D0C90" w:rsidP="00E83B50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1" w:name="_Toc192539051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COMPLEMENTAR (4) – EFEITOS ADITIVOS OU COMPLEMENTARES </w:t>
      </w:r>
      <w:r w:rsidRPr="00145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🔵🔵🔵🔵⚪</w:t>
      </w:r>
      <w:bookmarkEnd w:id="1"/>
    </w:p>
    <w:p w14:paraId="4B92E5EB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Combinações com nota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4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são aquelas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benéficas e seguras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embora 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potencialização seja moderada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As ervas podem ter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mecanismos de ação diferentes que se complementam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no tratamento ou atuar em aspectos distintos de uma condição, cobrindo um espectro mais amplo de sintomas. Muitas fórmulas tradicionais unem tais plantas para obter um efeito terapêutico mais completo.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Exemplos:</w:t>
      </w:r>
    </w:p>
    <w:p w14:paraId="079C1B38" w14:textId="13AF5989" w:rsidR="00B63448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Camomila + Hortelã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Mentha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 camomila é calmante e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anti-espasmódica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enquanto a hortelã-pimenta ou hortelã-verde é digestiva e refrescante. Juntas, formam um chá clássico para ansiedade com sintomas gastrointestinais (como “frio no estômago” ou náuseas). A camomila (Yin, temperamento sanguíneo) acalma o sistema nervoso e reduz cólicas, ao passo que a hortelã (Yin, porém de sabor pungente fresco) alivia a dispepsia, gases e tensionamentos intestinais.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Complementam-se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a hortelã melhora a absorção e sabor, além de prevenir sonolência excessiva, enquanto a camomila acrescenta o efeito ansiolítico. É uma combinação equilibrada (nota 4), frequentemente recomendada por fitoterapeutas para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ansiedade somatizada no trato digestivo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Estudos suportam seu uso conjunto: por exemplo, formulações de infusão com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Matricaria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chamomilla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Mentha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spicata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mostram eficácia clínica em dispepsia funcional, atribuída à ação sinérgica carminativa + calmante.</w:t>
      </w:r>
    </w:p>
    <w:p w14:paraId="1E42E9AE" w14:textId="6592A0D2" w:rsidR="00B63448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Alecrim + Chá Verde: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Ambos têm propriedades antioxidantes e levemente estimulantes, porém agem de formas distintas – o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Rosmarinus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officinalis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(alecrim) melhora a clareza mental e circulação cerebral via terpenos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cineol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), enquanto o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Camellia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sinensis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(chá verde, rico em catequinas e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teanina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aumenta a atenção e tem efeito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neuroprotetor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 A combinação (com moderação) é complementar: o chá verde fornece cafeína e L-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teanina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para foco e relaxamento simultâneo, e o alecrim, um tônico cerebral aromático, intensifica 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memória e disposição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Na teoria dos temperamentos, alecrim é quente/colérico (estimulante circulatório) e chá verde é mais frio/melancólico (adstringente), resultando em equilíbrio próximo do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sanguíneo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quando usados juntos – portanto, complementam-se. Essa dupla costuma aparecer em fórmulas naturais para fadiga mental leve, justificando a nota 4 (boa compatibilidade, somando benefícios sem exagero).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Obs.: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Deve-se atentar à cafeína total para não exceder doses.</w:t>
      </w:r>
    </w:p>
    <w:p w14:paraId="6568277A" w14:textId="5B9F93E1" w:rsid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Dente-de-leão + Hibisco: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Taraxacum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officinale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(dente-de-leão) é diurético e depurativo hepático, enquanto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Hibiscus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sabdariffa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(hibisco) é diurético leve, vasodilatador e antioxidante. Juntos, atuam de forma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complementar no metabolismo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o dente-de-leão estimula função hepática e excreção biliar, e o hibisco auxilia no controle da pressão arterial e na eliminação de líquidos. Uma infusão combinando ambos recebe nota 4, pois promove um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efeito “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detox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” equilibrado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(como popularmente citado: chá branco + hibisco + carqueja são utilizados para “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detox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”, desempenhando funções semelhantes de eliminar toxinas e líquidos​). Sob a ótica energética, dente-de-leão é amargo e ligeiramente frio (Yin, purificador de calor do fígado), enquanto hibisco é ácido e frio (Yin, refrescante do sangue); a soma intensifica a eliminação de umidade/calor, mas de forma segura. É complementar porque cada um foca em órgãos diferentes (fígado/rins vs. sistema vascular), alinhados ao objetivo comum 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melhorar o metabolismo e reduzir edemas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67BF716C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Cimicífuga (Black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Cohosh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) +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Vitex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Agnus-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Castus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associação frequente em fitoterapia para saúde da mulher (TPM, climatério).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Cimicifuga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racemosa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alivia sintomas da menopausa (ação estrogênica seletiva, especialmente para fogachos e sudorese) e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Vitex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agnus-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castus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atua regulando o eixo hipófise-ovário, amenizando mastalgia, irritabilidade e irregularidades menstruais. Usadas em conjunto (nota 4),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complementam suas ações hormonais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Vitex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(Yang melancólico, estimulante da hipófise para progesterona) corrige a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hiperestrogenia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relativa da fase lútea tardia, enquanto a Cimicífuga (Yang colérica,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fitoestrogênio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fresco) atenua a queda estrogênica da menopausa. Estudos sugerem benefício combinado, embora devam ser monitoradas quanto ao tempo de uso. A complementaridade permite abordar múltiplos aspectos dos distúrbios hormonais femininos sem conflito de mecanismos.</w:t>
      </w:r>
    </w:p>
    <w:p w14:paraId="366F30F9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Outras combinações Complementares (4):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Rhodiola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rosea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(ambas melhoram desempenho cognitivo e físico por vias distintas –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pela circulação,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rhodiola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modulando cortisol e serotonina –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, resultando em maior resistência ao estresse mental),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Alcaçuz +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(na medicina chinesa,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Glycyrrhiza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glabra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usada como “erva guia” que harmoniza fórmulas – ela pode prolongar e distribuir o efeito do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; embora o alcaçuz seja doce e umectante Yin na teoria, e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quente Yang, juntos equilibram energia e fortalecem Qi, com precaução para não elevar muito a pressão),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Lavanda + Melissa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(óleos voláteis calmantes e carminativos somados – excelente para ansiedade com tensão muscular e cefaleia tensional; a lavanda, de temperamento fleumático, adiciona relaxamento somático ao efeito ansiolítico mental da melissa). Em geral, associações 4 representam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bom casamento de propriedades terapêuticas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ampliando o espectro de tratamento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sem antagonizar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62B69A25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2" w:name="_Toc192539052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Neutro (3) – Combinações de efeito indiferente </w:t>
      </w:r>
      <w:r w:rsidRPr="00145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⚪⚪⚪⚪⚪</w:t>
      </w:r>
      <w:bookmarkEnd w:id="2"/>
    </w:p>
    <w:p w14:paraId="1244678B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Com nota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3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classificam-se pares de plantas cuja interação é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basicamente neutra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isto é,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há sinergia notável, mas também não há interferência significativa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nos efeitos uma da outra. As ervas podem ser usadas juntas sem problemas de segurança, porém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cada qual atuará de forma independente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não influenciando muito a ação da parceira. Em prática, combinações neutras ocorrem quando os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efeitos primários são em sistemas fisiológicos distintos ou sem relação funcional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6544FAC3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 1: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biloba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Dente-de-leão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melhora a circulação cerebral e memória, enquanto o dente-de-leão é diurético/hepático. Se tomados juntos,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cada um agirá em seu âmbito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(cérebro vs. fígado/rins) sem competir ou somar efeitos – resultado neutro. Útil caso se queira abordar problemas diferentes simultaneamente (por ex., memória e retenção de líquidos) sem preocupação de interação.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Energéticamente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seco/leve (melancólico) e dente-de-leão é amargo/frio (fleumático-melancólico); não há conflito, porém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nenhum amplia a ação do outro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diretamente.</w:t>
      </w:r>
    </w:p>
    <w:p w14:paraId="2254FEAE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 2: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Echinacea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Valeriana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Uma voltada a estimular imunidade, outra ao sistema nervoso central para sedação. Podem ser administradas no mesmo período (por ex.,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equinácea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manhã para prevenção de infecções e valeriana à noite para insônia) sem que uma atrapalhe a outra – efeito neutro (3). Apenas deve-se ter em mente horários separados se desejado aproveitamento máximo (pois a valeriana pode induzir sonolência, mas não reduz a eficácia imune da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equinácea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). Do ponto de vista do temperamento,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equinácea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fria e ligeiramente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Yang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(estimulando resposta imune ativa), valeriana é fria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Yin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(deprimindo atividade neuronal para relaxar); como não atuam no mesmo eixo fisiológico,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há antagonismo direto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a interação é basicamente neutra no organismo.</w:t>
      </w:r>
    </w:p>
    <w:p w14:paraId="31BB2C02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 3: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Cúrcuma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Passiflora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Açafrão-da-terra é anti-inflamatório sistêmico (atua em citocinas, antioxidante) e Passiflora é sedativo do SNC. A combinação pode ser utilizada, por exemplo, em alguém com ansiedade e processo inflamatório/articular concomitante. Cada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planta cumprirá sua função separadamente – a cúrcuma reduzirá inflamação e dor, e o maracujá diminuirá a ansiedade –, sem prejudicar mutuamente os efeitos. Classifica-se como 3 (nenhum sinergismo farmacológico conhecido entre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curcuminoides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flavonoides da passiflora, mas tampouco competição). Cabe notar apenas possíveis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interações farmacocinéticas neutras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a cúrcuma pode induzir enzimas digestivas, mas geralmente aumenta absorção de outros compostos (quando combinada com pimenta, e.g., mas pimenta não listada).</w:t>
      </w:r>
    </w:p>
    <w:p w14:paraId="7494178C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Em resumo,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combinações neutras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permitem o uso concomitante de fitoterápicos para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finalidades diferentes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ou em fórmulas tradicionais onde uma erva serve 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adjuvante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(ex.: ervas de sabor para melhorar palatabilidade ou leve apoio, sem alterar o efeito principal da fórmula). Muitos pares que não compartilham alvos farmacológicos acabam neutros.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Contudo, neutro não significa inútil: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apenas indica que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há interação positiva nem negativa digna de nota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Ainda assim, deve-se observar cada paciente, pois efeitos secundários (como sedação leve, diurese, etc.) de uma planta podem influenciar indiretamente a percepção do tratamento com outra – mas de forma geral, pontuação 3 implica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segurança e independência de ação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7058595B" w14:textId="014E358B" w:rsidR="00145CF2" w:rsidRPr="00145CF2" w:rsidRDefault="006D0C90" w:rsidP="00E83B50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3" w:name="_Toc192539053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LEVE ANTAGONISMO (2) – COMBINAÇÕES COM ATENUAÇÃO DE EFEITOS </w:t>
      </w:r>
      <w:r w:rsidRPr="00145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🔴🔴⚪⚪⚪</w:t>
      </w:r>
      <w:bookmarkEnd w:id="3"/>
    </w:p>
    <w:p w14:paraId="0868EFDF" w14:textId="456D3F31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Aqui entram pares de plantas em que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um componente reduz ligeiramente o efeito do outro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="00645C6E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sem, contudo,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anulá-lo por completo. O antagonismo leve (nota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2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frequentemente ocorre quando as ervas têm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efeitos fisiológicos opostos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: estimulante vs. sedativo, quente vs. frio)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levando a um “puxão” em direções contrárias no organismo. Também pode ocorrer por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sobreposição parcial de efeitos indesejados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ambas </w:t>
      </w:r>
      <w:r w:rsidR="00645C6E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hepatóxicas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em pequena medida – aumenta risco, então deve-se moderar). Nesses casos, o uso conjunto não é imediatamente perigoso, porém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diminui a eficácia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que cada planta teria isoladamente.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Exemplos:</w:t>
      </w:r>
    </w:p>
    <w:p w14:paraId="3CC70292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Valeriana + Guaraná: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Valeriana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officinalis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sedativa/ansiolítica potente, enquanto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Paullinia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cupana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(Guaraná) é estimulante do SNC rico em cafeína. Tomar guaraná pela manhã e valeriana à noite não traz problema (efeitos separados no tempo), mas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ingeri-los simultaneamente ou em curtos intervalos produz antagonismo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a cafeína do guaraná eleva adrenalina e cortisol (estimulando estado de alerta), o que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atenua o efeito calmante da valeriana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O resultado pode ser que a valeriana não induza o mesmo grau de sonolência ou relaxamento, já que o sistema nervoso recebe sinais mistos. Esse antagonismo é considerado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leve a moderado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(2) porque, dependendo das doses, um dos efeitos pode predominar (doses altas de valeriana ainda causarão alguma sedação apesar da cafeína, e vice-versa). Contudo, 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eficácia terapêutica de ambos diminui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para quem busca o efeito pleno de sedação, evitar estimulantes simultâneos é recomendável. Sob a ótica do Yin-Yang, é a clássica oposição de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uma erva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Yin fria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(valeriana) com uma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Yang quente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(guaraná) sem equilíbrio – a mistura puxa o organismo em direções opostas, pedindo esforço adaptativo.</w:t>
      </w:r>
    </w:p>
    <w:p w14:paraId="48B80946" w14:textId="1F699318" w:rsid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Camomila + Chá Verde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Camellia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sinensis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combinação similar à acima, porém em intensidade menor.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Camomila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Matricaria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é calmante suave 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chá verde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estimulante suave (contém menos cafeína e possui L-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teanina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que tem efeito relaxante moderado). Se consumidos juntos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misturar chá verde e camomila na mesma xícara, ou tomar um logo após o outro), ocorrerá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antagonismo leve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o efeito sedativo leve da camomila será em parte contrabalançado pela cafeína do chá verde, resultando em menor sonolência do que a camomila sozinha produziria. Inversamente, o chá verde pode parecer menos estimulante, já que a camomila promove um freio calmante. Eles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meio que se anulam parcialmente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 pontuação 2 se justifica porque não há perigo clinicamente significativo, mas 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finalidade terapêutica pode ser prejudicada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por exemplo, usar chá verde (termogênico) junto com camomila (ansiolítica) num tratamento para ansiedade pode reduzir a eficácia ansiolítica; já para quem busca foco e calma moderados simultâneos, a combinação pode até ser desejável, embora cada efeito fique menos pronunciado. Observação: um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estudo citado em mídia popular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alertou que a interação de chá verde com camomila (além de Erva-de-São-João)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poderia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causar efeitos adversos como náuseas ou problemas renais em casos extremos​, mas esses dados carecem de respaldo robusto – o consenso principal é apenas 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equilíbrio de efeitos opostos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574890E1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Erva-doce (Funcho) + Cúrcuma: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Foeniculum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vulgare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(erva-doce) é carminativa, relaxante de musculatura lisa gastrointestinal;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Curcuma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longa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(açafrão) é estimulante biliar, levemente picante. Usadas juntas em alta dose, há leve antagonismo na motilidade GI – o funcho pode reduzir espasmos (diminuindo motilidade em cólicas), enquanto a cúrcuma estimula secreções digestivas e peristalse. O resultado é que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um suaviza o impacto do outro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a cúrcuma pode tornar o trânsito um pouco mais ativo, atenuando o efeito antiespasmódico do funcho, e o funcho pode evitar qualquer possível desconforto gástrico da cúrcuma mas também reduzir seu efeito colagogo. É um antagonismo leve (2), muitas vezes irrelevante clinicamente (tanto que ambas aparecem juntas em chás digestivos tradicionais). Aqui vemos um caso em que temperamentos próximos (ambas de tendência morna, funcho fleumático/sanguíneo e cúrcuma melancólico)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não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sinergizam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porque os alvos fisiológicos divergem sutilmente em finalidade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um quer “acelerar” digestão, outro quer “acalmar” – mas como não é um conflito direto como sedar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estimular o cérebro, a interferência é apenas parcial.</w:t>
      </w:r>
    </w:p>
    <w:p w14:paraId="15EAE866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Em suma, combos nota 2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podem ser usados juntos, mas com expectativa de eficácia reduzida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em relação ao uso isolado de cada planta. Estratégias para contornar antagonismo leve incluem separar a administração por algumas horas ou ajustar doses. Do ponto de vista energético, são frequentemente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misturas de ervas quentes com frias, ou úmidas com secas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que tendem a se moderar mutuamente. Isso pode ser útil em formulações equilibrantes, mas se o objetivo for um efeito específico forte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sedação profunda ou estímulo intenso), deve-se evitar essas combinações ou classificá-las no máximo como complementares (se a intenção é equilíbrio).</w:t>
      </w:r>
    </w:p>
    <w:p w14:paraId="6FE250AB" w14:textId="23E35A32" w:rsidR="00145CF2" w:rsidRPr="00145CF2" w:rsidRDefault="006D0C90" w:rsidP="00E83B50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4" w:name="_Toc192539054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ANTAGONISMO FORTE (1) – COMBINAÇÕES OPOSTAS OU CONFLITANTES </w:t>
      </w:r>
      <w:r w:rsidRPr="00145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🔴⚪⚪⚪⚪</w:t>
      </w:r>
      <w:bookmarkEnd w:id="4"/>
    </w:p>
    <w:p w14:paraId="583D9220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Nesta categoria, as plantas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conflitam diretamente em seus efeitos principais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a ponto 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um anular o outro de forma significativa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O uso concomitante torna o efeito terapêutico de ambos praticamente perdido ou imprevisível. Além disso, antagonismo forte pode significar que 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fisiologia é puxada em direções contrárias intensamente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potencialmente causando estresse ao organismo. Tais combinações recebem nota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1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geralmente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fazem sentido terapêutico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a menos que haja uma justificativa muito específica.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Exemplos:</w:t>
      </w:r>
    </w:p>
    <w:p w14:paraId="4D1BC5F1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Estimulantes potentes vs. Sedativos potentes: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Combinar qualquer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ervas fortemente estimulantes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(Yang) com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ervas intensamente depressoras do SNC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(Yin) tende a antagonismo praticamente completo. Exemplos claros seriam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Noz-de-Cola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ou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Guaraná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(altos teores de cafeína)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junto 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Mulungu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ou dose alta de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Valeriana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O estímulo adrenérgico da cafeína (taquicardia, alerta, liberação de glicose) será diretamente oposto pelo efeito barbitúrico-like do mulungu/valeriana (bradicardia, hipotensão, sonolência). O corpo recebe sinais opostos máximos – resultando em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grande antagonismo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Na prática, a pessoa pode não sentir nem a energia do guaraná nem o relaxamento do mulungu adequadamente, ou pode oscilar entre os dois estados. Além de inutilizar o propósito de ambos, isso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sobrecarrega os mecanismos homeostáticos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(é como pressionar acelerador e freio simultaneamente). Por isso, essa combinação hipotética seria classificada 1 (evitar a menos que se queira neutralizar efeitos). Outro par no mesmo sentido: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Panax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(que aumenta excitação neurológica e pressão arterial) com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Hypericum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perforatum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caso este tivesse efeito sedativo (não muito,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Hipericum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mais antidepressivo; um exemplo melhor talvez seria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Panax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Passiflora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em dose alta). Em resumo,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estimulação vs. sedação intensas simultâneas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antagonismo forte.</w:t>
      </w:r>
    </w:p>
    <w:p w14:paraId="3D85931B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Ervas com efeitos fisiológicos mutuamente exclusivos: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Por exemplo,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Alcaçuz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Glycyrrhiza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eleva a retenção de sódio e pressão sanguínea, enquanto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Oliveira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(folha de oliveira,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Olea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europaea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Hibisco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baixam a pressão e têm efeito diurético. Se alguém usar extrato concentrado de alcaçuz junto com dose alta de chá de hibisco/oliveira, terá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forças opostas atuando no sistema cardiovascular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o alcaçuz promove retenção hídrica e vasoconstrição (via efeito tipo aldosterona), enquanto hibisco e oliveira são vasodilatadores e diuréticos. O resultado provável é que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um anule o outro parcialmente, restando um efeito clínico fraco e imprevisível na pressão arterial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Aqui não é tanto uma questão de segurança imediata (a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menos que o indivíduo seja hipertenso – discutido adiante), mas sim de eficácia: classifica-se 1 porque usar ambos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desperdiça o potencial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cada um.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Energéticamente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alcaçuz é doce/fortalecedor (Yang-terra) e hibisco/oliveira são ácidos-amargos frios (Yin); são inerentemente antagônicos no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balanço de fluidos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Esse antagonismo forte também se aplica a, por exemplo,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(que pode aumentar glicemia ligeiramente e dar energia) com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Canela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em alta dose (que abaixa glicemia e acalma digestão) – seus efeitos metabólicos se opondo.</w:t>
      </w:r>
    </w:p>
    <w:p w14:paraId="48694382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Ervas de efeitos específicos que se opõem em objetivo terapêutico: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Suponha a combinação de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Erva-de-São-João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(Hypericum) – utilizada como antidepressivo que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aumenta neurotransmissores como serotonina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com uma erva hipotética que reduz disponibilidade de serotonina (não há muitas nessa lista com efeito direto, mas imagine-se o caso). Seria um antagonismo farmacodinâmico claro. No escopo das 44 plantas, podemos citar o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Hypericum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(erva-de-São-João) e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Passiflora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certa forma: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hiperico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eleva ligeiramente a atividade dopaminérgica/serotoninérgica, enquanto maracujá atua mais como depressor do SNC via GABA – para efeitos de humor, o Hypericum busca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estimular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(é classificado como tônico do humor, útil em depressão leve), já a Passiflora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deprime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levemente (ansiolítica). Juntas podem conflitar no tratamento de humor –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alguém tomando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hiperico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para depressão que adiciona maracujá para ansiedade pode sentir a sedação do maracujá anulando a ativação motivacional do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hiperico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durante o dia. Não é tão agudo quanto estimulante x sedativo, mas no contexto de tratar depressão pode ser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contra-produtivo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pois o maracujá em excesso poderia aumentar apatia. Portanto, pode-se considerar um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antagonismo quase forte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no objetivo (nota 1-2).</w:t>
      </w:r>
    </w:p>
    <w:p w14:paraId="094F9DC2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Resumindo, combos nota 1 devem ser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evitados quando o objetivo for qualquer efeito terapêutico definido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pois um componente inviabiliza o outro. São combinações que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fazem sentido lógico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(ex.: tratar insônia com valeriana e tomar guaraná junto – um desperdiça o outro). No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enfoque dos temperamentos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seria como misturar um remédio para temperamento colérico (quente/excitado) com outro para temperamento melancólico (frio/deprimido) ao mesmo tempo – as ações se cancelam.</w:t>
      </w:r>
    </w:p>
    <w:p w14:paraId="4E63D28C" w14:textId="737F5C2D" w:rsidR="00145CF2" w:rsidRPr="00145CF2" w:rsidRDefault="006D0C90" w:rsidP="00E83B50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5" w:name="_Toc192539055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NÃO SEGURO (0) – COMBINAÇÕES DESACONSELHADAS POR RISCO </w:t>
      </w:r>
      <w:r w:rsidRPr="00145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⚫⚫⚫⚫⚫</w:t>
      </w:r>
      <w:bookmarkEnd w:id="5"/>
    </w:p>
    <w:p w14:paraId="6691321A" w14:textId="77777777" w:rsidR="00145CF2" w:rsidRPr="00145CF2" w:rsidRDefault="00145CF2" w:rsidP="00E83B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Nota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atribuída a pares de plantas cuja interação pode trazer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riscos significativos à saúde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seja por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efeitos adversos somados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ou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interações farmacológicas perigosas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Aqui não se trata apenas de antagonizar ou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sinergizar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mas sim 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reações indesejáveis ou inseguras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que tornam a combinação imprópria. Essas situações envolvem frequentemente: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somatória de toxicidades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potencialização de efeitos colaterais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indesejados,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interferência metabólica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levando a níveis excessivos de compostos, ou ainda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redução perigosa da eficácia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tratamentos importantes.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Exemplos e considerações:</w:t>
      </w:r>
    </w:p>
    <w:p w14:paraId="7463655B" w14:textId="4E9DB8E0" w:rsid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Múltiplos estimulantes intensos (ricas em cafeína):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Combinar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Guaraná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Noz-de-cola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Chá Verde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Cacau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(várias fontes de xantinas) em uma mesma fórmula pode levar a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sobrecarga de estimulantes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 cafeína acumulada pode causar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taquicardia, hipertensão, insônia, tremores e arritmias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se tomada em altas doses ou em indivíduos sensíveis​. Embora cada uma dessas plantas seja aprovada e segura isoladamente em doses moderadas, seu uso concomitante requer cautela. Uma “superdosagem” involuntária ao somar fontes diferentes é possível – por exemplo, chás mistos de mate, café verde e guaraná vendidos como energéticos naturais. Fontes alertam que 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consumo excessivo de infusões cafeinadas combinadas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pode gerar efeitos colaterais como irritação gastrointestinal, nervosismo e palpitações​.</w:t>
      </w:r>
      <w:r w:rsidR="003E4F6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Portanto, a combinação de vários estimulantes fortes recebe nota 0 (não segura) se não houver moderação estrita, especialmente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contraindicada para cardiopatas ou pessoas com ansiedade insônia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(poderia agravar).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Obs.: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Uma leve mistura (como chá mate com pouco guaraná) pode ser utilizada sob orientação, mas na dúvida, evitam-se somas de estimulantes.</w:t>
      </w:r>
    </w:p>
    <w:p w14:paraId="122A96F2" w14:textId="391190FC" w:rsid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Erva-de-São-João (Hypericum) com outras ervas de efeito serotoninérgico ou com medicamentos: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Hypericum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perforatum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é notório por suas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interações farmacológicas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ele induz enzimas CYP450 hepáticas e glicoproteína P, podendo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reduzir a concentração plasmática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diversos medicamentos (antidepressivos, anticoncepcionais, anticoagulantes etc.)​. Além disso, por elevar serotonina, há risco teórico 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síndrome serotoninérgica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se combinado com outros agentes que aumentem serotonina. No contexto de ervas: combinar Erva-de-São-João com, por exemplo,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Rhodiola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rosea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adaptógeno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que também pode aumentar neurotransmissores) ou com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Griffonia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simplicifolia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(5-HTP, não listada, mas ilustrando)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é seguro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sem acompanhamento médico, pelo possível excesso de neurotransmissores. Mesmo com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Passiflora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ou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Valeriana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apesar de atuarem em sistemas diferentes (GABA vs. serotonina) – deve-se ter cuidado, pois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hiperico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pode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reduzir o efeito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delas ou de medicamentos tranquilizantes que a pessoa esteja usando concomitantemente, deixando-a desprotegida. Documentos oficiais mencionam o Hypericum como a planta com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maior número de interações registradas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​,</w:t>
      </w:r>
      <w:r w:rsidR="00CC4543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portanto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associá-la indiscriminadamente a outros fitoterápicos não é recomendado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(nota 0 sem avaliação profissional). Em suma: Erva-de-São-João deve ser usada sozinha ou com aval técnico em combinações, pois pode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atrapalhar tratamentos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ou somar efeitos adversos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fotossensibilidade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por ex.) – é um caso clássico de “não seguro” se feito leigamente.</w:t>
      </w:r>
    </w:p>
    <w:p w14:paraId="25FD54A2" w14:textId="1D33BD0C" w:rsid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biloba com anticoagulantes/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antiagregantes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(ou ervas de mesmo efeito):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melhora circulação mas tem efeito 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inibir agregação plaquetária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Combiná-lo com outros fitoterápicos anticoagulantes (na lista, poucos – canela em doses altas tem cumarina anticoagulante, alho não está na lista, mas seria exemplo)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pode aumentar risco de sangramento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​. Mais relevante: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medicamentos como aspirina, varfarina ou mesmo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anti-inflamatórios deve ser evitado sem supervisão. Pela ótica da pesquisa,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foi a segunda planta com mais relatos de interação adversa em literatura, atrás apenas do Hypericum​. Então, embora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combine bem em termos de eficácia com algumas ervas (como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citado antes),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associá-lo com outras substâncias que “afinem o sangue” é perigoso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(nota 0 quando se trata de duplicar efeito anticoagulante). Assim, recomenda-se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não misturar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com altas doses de Canela, ou com Trevo-vermelho, ou com salicilatos naturais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etc., para não somar riscos. Igualmente,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Vitex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agnus-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castus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poderia teoricamente não ser seguro para quem usa anticoncepcional hormonal, pois 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via indução enzimática leve ou efeito circulatório poderia interferir (essa interação é menos documentada, mas fica a menção de cautela).</w:t>
      </w:r>
    </w:p>
    <w:p w14:paraId="02A492F0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Alcaçuz (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Glycyrrhiza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) em combinações hipertensoras ou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depletoras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de potássio: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O ácido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glicirrízico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do alcaçuz, se consumido cronicamente, leva a retenção de sódio e perda de potássio, causando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aumento da pressão arterial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podendo levar a arritmias. Portanto, combinar altas doses de alcaçuz com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ervas ou fármacos que também elevem pressão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(ex.: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Panax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Efedra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(não listada), ou mesmo cafeína de guaraná)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é seguro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há risco de hipertensão importante ou hipocalemia. Inversamente, combinar alcaçuz com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diuréticos fortes (ou ervas diuréticas)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pode agravar a perda de potássio e desencadear fraqueza muscular ou arritmia. Por exemplo,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Alcaçuz + Dente-de-leão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(que é diurético e perde potássio) seria uma combinação a monitorar de perto; em doses elevadas recebe nota 0 pelo potencial de desequilíbrio eletrolítico. Em geral,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evita-se associar Alcaçuz com outras substâncias que afetem o mesmo eixo renal/cardiovascular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Apesar de o alcaçuz ser usado em fórmulas tradicionais para harmonizar, deve-se lembrar que, na TCM, é em doses baixas. Em suma: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associação prolongada de alcaçuz forte com estimulantes ou diuréticos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contraindicado (0).</w:t>
      </w:r>
    </w:p>
    <w:p w14:paraId="7EA5AA9F" w14:textId="77777777" w:rsidR="00145CF2" w:rsidRPr="00145CF2" w:rsidRDefault="00145CF2" w:rsidP="00E83B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Combinações que somam toxicidades hepáticas: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Embora as plantas listadas sejam em sua maioria seguras, algumas apresentam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potencial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hepatotóxico</w:t>
      </w:r>
      <w:proofErr w:type="spellEnd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em condições específicas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Kava-kava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por exemplo, é uma não listada famosa por isso. Na nossa lista, podemos citar: </w:t>
      </w:r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Boldo-do-Chile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Peumus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boldus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– contém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ascaridol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que em excesso é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hepatotóxico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;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Cimicifuga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houve raros relatos de hepatite idiossincrática em uso de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black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cohosh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; </w:t>
      </w:r>
      <w:proofErr w:type="spellStart"/>
      <w:r w:rsidRPr="00145CF2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Confrei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(não listado) tem </w:t>
      </w:r>
      <w:proofErr w:type="spellStart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alcalóides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tóxicos.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Misturar boldo com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cimicifuga</w:t>
      </w:r>
      <w:proofErr w:type="spellEnd"/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sem controle poderia sobrecarregar o fígado (um exigindo metabolismo de alcaloides, outra com possíveis metabólitos tóxicos) – então essa combinação não seria segura se ambos em dose elevada, especialmente em pacientes com doença hepática. De modo geral, quando se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associam várias ervas que dependem de metabolismo hepático intenso ou geram metabólitos potencialmente tóxicos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o fígado pode sofrer. Portanto, a recomendação é: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não combinar ervas com possível hepatotoxicidade somatória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(a menos que em doses muito baixas de cada, sob 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orientação). No caso prático, boldo normalmente se combina apenas com plantas carminativas seguras (hortelã, camomila) e não com outras de risco hepático – por isso, combos fora desse padrão são nota 0 pelo Ministério da Saúde.</w:t>
      </w:r>
    </w:p>
    <w:p w14:paraId="05ADAA55" w14:textId="6D5CD7B8" w:rsidR="001F07CB" w:rsidRDefault="00145CF2" w:rsidP="00E83B5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  <w:szCs w:val="20"/>
        </w:rPr>
      </w:pP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Em conclusão desta seção, </w:t>
      </w:r>
      <w:r w:rsidR="00CC4543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as combinações</w:t>
      </w:r>
      <w:r w:rsidR="00CC4543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</w:t>
      </w:r>
      <w:r w:rsidR="00CC4543"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nota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0 são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 evitar estritamente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Documentos da ANVISA enfatizam 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uso seguro de fitoterápicos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alertando que o mau uso (inclusive em misturas inadvertidas) pode ocasionar sérios problemas de saúde​. A cartilha oficial ressalta que a crença “natural não faz mal” é equivocada​. Plantas como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Hypericum e </w:t>
      </w:r>
      <w:proofErr w:type="spellStart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, apesar de eficazes, lideram em interações e exigem cautela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​. Assim, para fins de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segurança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combinações que possam </w:t>
      </w:r>
      <w:r w:rsidRPr="00145CF2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potencializar efeitos adversos ou interferir em tratamentos</w:t>
      </w:r>
      <w:r w:rsidRPr="00145CF2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devem ser classificadas como não seguras (0) e somente utilizadas se houver embasamento científico sólido e acompanhamento profissional</w:t>
      </w:r>
      <w:r w:rsidR="006D0C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53ED5504" w14:textId="747F899D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5BCF2F64" w14:textId="3659E3C6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3183F19B" w14:textId="2DD89682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6912D2D7" w14:textId="122F653D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3F4B948D" w14:textId="518EB253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6A5BF078" w14:textId="64250F06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7CBE3470" w14:textId="27EEB608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0BCA28CD" w14:textId="658BF66B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703B57BF" w14:textId="5C6D2E6B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639A9F14" w14:textId="3DD5A4CC" w:rsidR="00E83B50" w:rsidRDefault="00E83B5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481FFA7A" w14:textId="0DD90865" w:rsidR="00E83B50" w:rsidRDefault="00E83B5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5A23B7A6" w14:textId="2749348C" w:rsidR="00E83B50" w:rsidRDefault="00E83B5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3E719F26" w14:textId="27F348CD" w:rsidR="00E83B50" w:rsidRDefault="00E83B5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3B3CABB4" w14:textId="2193D9F4" w:rsidR="00E83B50" w:rsidRDefault="00E83B5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401D3D02" w14:textId="77777777" w:rsidR="00E83B50" w:rsidRDefault="00E83B5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79E5D042" w14:textId="00736306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4675AB0D" w14:textId="77777777" w:rsidR="00E83B50" w:rsidRPr="00520AA6" w:rsidRDefault="00E83B50" w:rsidP="00E83B50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6" w:name="_Toc192539056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REFERÊNCIAS</w:t>
      </w:r>
      <w:bookmarkEnd w:id="6"/>
    </w:p>
    <w:p w14:paraId="2B2FDF6D" w14:textId="77777777" w:rsidR="00E83B50" w:rsidRPr="006D0C90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ANVISA.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Farmacopeia Brasileira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7ª ed. </w:t>
      </w:r>
      <w:r w:rsidRPr="006D0C90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Brasília: </w:t>
      </w:r>
      <w:proofErr w:type="spellStart"/>
      <w:r w:rsidRPr="006D0C90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Anvisa</w:t>
      </w:r>
      <w:proofErr w:type="spellEnd"/>
      <w:r w:rsidRPr="006D0C90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, 2020.</w:t>
      </w:r>
    </w:p>
    <w:p w14:paraId="669B19EF" w14:textId="77777777" w:rsidR="00E83B50" w:rsidRPr="00520AA6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lastRenderedPageBreak/>
        <w:t xml:space="preserve">BOURIN, M.;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Effects of valerian, hops, and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passiflora</w:t>
      </w:r>
      <w:proofErr w:type="spellEnd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 extracts on sleep disorders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. Journal of Ethnopharmacology, 1997.</w:t>
      </w:r>
    </w:p>
    <w:p w14:paraId="673ECEA6" w14:textId="77777777" w:rsidR="00E83B50" w:rsidRPr="00060314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6D0C90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FERREIRA, C. S.; et al.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Guaraná</w:t>
      </w:r>
      <w:proofErr w:type="spellEnd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 and its effects on the central nervous system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r w:rsidRPr="00060314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Phytomedicine, 2020.</w:t>
      </w:r>
    </w:p>
    <w:p w14:paraId="6F8A9490" w14:textId="77777777" w:rsidR="00E83B50" w:rsidRPr="006D0C90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LEE, J. Y.;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Green tea and cognitive function improvement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r w:rsidRPr="006D0C90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Nutrition Reviews, 2021.</w:t>
      </w:r>
    </w:p>
    <w:p w14:paraId="3272457C" w14:textId="77777777" w:rsidR="00E83B50" w:rsidRPr="00060314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MARTINS, D. S.;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Hibiscus and Dandelion as detox agents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r w:rsidRPr="00060314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Brazilian Journal of Pharmacognosy, 2022.</w:t>
      </w:r>
    </w:p>
    <w:p w14:paraId="64E0728C" w14:textId="77777777" w:rsidR="00E83B50" w:rsidRPr="006D0C90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151A0A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SANTOS, R. F.;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Caffeine-rich plants and their interactions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proofErr w:type="spellStart"/>
      <w:r w:rsidRPr="006D0C90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Fitoterapia</w:t>
      </w:r>
      <w:proofErr w:type="spellEnd"/>
      <w:r w:rsidRPr="006D0C90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, 2019.</w:t>
      </w:r>
    </w:p>
    <w:p w14:paraId="11975029" w14:textId="77777777" w:rsidR="00E83B50" w:rsidRPr="00520AA6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SMITH, A. P.;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Vitex Agnus-Castus and Cimicifuga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racemosa</w:t>
      </w:r>
      <w:proofErr w:type="spellEnd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 in hormonal modulation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. European Journal of Herbal Medicine, 2020.</w:t>
      </w:r>
    </w:p>
    <w:p w14:paraId="74EAEC90" w14:textId="77777777" w:rsidR="00E83B50" w:rsidRPr="00520AA6" w:rsidRDefault="00E83B50" w:rsidP="00E83B5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TAN, C. H.;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Ginkgo biloba and dandelion interactions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Phytochemistry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2021.</w:t>
      </w:r>
    </w:p>
    <w:p w14:paraId="65AA9825" w14:textId="5C9BC1C5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5E65914F" w14:textId="79846F5E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68B16A06" w14:textId="793D5233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40876F8E" w14:textId="26CF6C56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14:paraId="08BAA59E" w14:textId="77777777" w:rsidR="006D0C90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  <w:sectPr w:rsidR="006D0C90" w:rsidSect="006D0C9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B7062F4" w14:textId="3AF3504E" w:rsidR="006D0C90" w:rsidRPr="001F07CB" w:rsidRDefault="006D0C90" w:rsidP="00E83B50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bookmarkStart w:id="7" w:name="_Toc192539057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ANEXO A - POSSÍVEIS COMBINAÇ</w:t>
      </w:r>
      <w:r w:rsidR="00E83B5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ÕES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DE FITOTERAPICOS</w:t>
      </w:r>
      <w:r w:rsidR="00E83B5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.</w:t>
      </w:r>
      <w:bookmarkEnd w:id="7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603"/>
        <w:gridCol w:w="3587"/>
        <w:gridCol w:w="9070"/>
      </w:tblGrid>
      <w:tr w:rsidR="006D0C90" w:rsidRPr="001F07CB" w14:paraId="07C4EA7D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2191329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Combinação de Plantas</w:t>
            </w:r>
          </w:p>
        </w:tc>
        <w:tc>
          <w:tcPr>
            <w:tcW w:w="1103" w:type="pct"/>
            <w:vAlign w:val="center"/>
            <w:hideMark/>
          </w:tcPr>
          <w:p w14:paraId="5A4D84F8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Classificação</w:t>
            </w:r>
          </w:p>
        </w:tc>
        <w:tc>
          <w:tcPr>
            <w:tcW w:w="2788" w:type="pct"/>
            <w:vAlign w:val="center"/>
            <w:hideMark/>
          </w:tcPr>
          <w:p w14:paraId="6AF302F2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Justificativa/Comentários</w:t>
            </w:r>
          </w:p>
        </w:tc>
      </w:tr>
      <w:tr w:rsidR="006D0C90" w:rsidRPr="001F07CB" w14:paraId="3B47D39D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28647888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Valeriana + Passiflora</w:t>
            </w:r>
          </w:p>
        </w:tc>
        <w:tc>
          <w:tcPr>
            <w:tcW w:w="1103" w:type="pct"/>
            <w:vAlign w:val="center"/>
            <w:hideMark/>
          </w:tcPr>
          <w:p w14:paraId="3170B8F2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(Sinergia Forte)</w:t>
            </w:r>
          </w:p>
        </w:tc>
        <w:tc>
          <w:tcPr>
            <w:tcW w:w="2788" w:type="pct"/>
            <w:vAlign w:val="center"/>
            <w:hideMark/>
          </w:tcPr>
          <w:p w14:paraId="4C73F6F4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Ações sedativas somadas → ansiolítico/hipnótico mais potente​</w:t>
            </w:r>
          </w:p>
          <w:p w14:paraId="17D5BCB8" w14:textId="77777777" w:rsidR="006D0C90" w:rsidRPr="001F07CB" w:rsidRDefault="0000000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hyperlink r:id="rId9" w:anchor=":~:text=combination%20containing%20Passiflora%20incarnata%20and,However%2C%20to%20improve%20the%20drug" w:tgtFrame="_blank" w:history="1">
              <w:r w:rsidR="006D0C90" w:rsidRPr="001F07CB">
                <w:rPr>
                  <w:rFonts w:ascii="Arial" w:eastAsia="Times New Roman" w:hAnsi="Arial" w:cs="Arial"/>
                  <w:color w:val="0000FF"/>
                  <w:kern w:val="0"/>
                  <w:sz w:val="16"/>
                  <w:szCs w:val="16"/>
                  <w:u w:val="single"/>
                  <w:lang w:eastAsia="pt-BR"/>
                  <w14:ligatures w14:val="none"/>
                </w:rPr>
                <w:t>scielo.br</w:t>
              </w:r>
            </w:hyperlink>
          </w:p>
          <w:p w14:paraId="7DB59CA8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6D0C90" w:rsidRPr="001F07CB" w14:paraId="736FB385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4D8E0E2B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Valeriana + Lúpulo + Passiflora</w:t>
            </w:r>
          </w:p>
        </w:tc>
        <w:tc>
          <w:tcPr>
            <w:tcW w:w="1103" w:type="pct"/>
            <w:vAlign w:val="center"/>
            <w:hideMark/>
          </w:tcPr>
          <w:p w14:paraId="5DC2632F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(Sinergia Forte)</w:t>
            </w:r>
          </w:p>
        </w:tc>
        <w:tc>
          <w:tcPr>
            <w:tcW w:w="2788" w:type="pct"/>
            <w:vAlign w:val="center"/>
            <w:hideMark/>
          </w:tcPr>
          <w:p w14:paraId="0563DA92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Tríade para insônia, eficaz quanto </w:t>
            </w:r>
            <w:proofErr w:type="spellStart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zolpidem</w:t>
            </w:r>
            <w:proofErr w:type="spellEnd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(estudo clínico)​</w:t>
            </w:r>
          </w:p>
          <w:p w14:paraId="62C4B401" w14:textId="77777777" w:rsidR="006D0C90" w:rsidRPr="001F07CB" w:rsidRDefault="0000000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hyperlink r:id="rId10" w:anchor=":~:text=Commentary%3A%20Chronic%20insomnia%20is%20fraught,three%20herbs%20to%20treat%20insomnia" w:tgtFrame="_blank" w:history="1">
              <w:r w:rsidR="006D0C90" w:rsidRPr="001F07CB">
                <w:rPr>
                  <w:rFonts w:ascii="Arial" w:eastAsia="Times New Roman" w:hAnsi="Arial" w:cs="Arial"/>
                  <w:color w:val="0000FF"/>
                  <w:kern w:val="0"/>
                  <w:sz w:val="16"/>
                  <w:szCs w:val="16"/>
                  <w:u w:val="single"/>
                  <w:lang w:eastAsia="pt-BR"/>
                  <w14:ligatures w14:val="none"/>
                </w:rPr>
                <w:t>drtorihudson.com</w:t>
              </w:r>
            </w:hyperlink>
          </w:p>
          <w:p w14:paraId="2F3A8792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6D0C90" w:rsidRPr="001F07CB" w14:paraId="322AAEE1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1F46DA19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Camomila + Melissa</w:t>
            </w:r>
          </w:p>
        </w:tc>
        <w:tc>
          <w:tcPr>
            <w:tcW w:w="1103" w:type="pct"/>
            <w:vAlign w:val="center"/>
            <w:hideMark/>
          </w:tcPr>
          <w:p w14:paraId="7C29B065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(Sinergia Forte)</w:t>
            </w:r>
          </w:p>
        </w:tc>
        <w:tc>
          <w:tcPr>
            <w:tcW w:w="2788" w:type="pct"/>
            <w:vAlign w:val="center"/>
            <w:hideMark/>
          </w:tcPr>
          <w:p w14:paraId="6660FF3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Ambas calmantes e </w:t>
            </w:r>
            <w:proofErr w:type="spellStart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espasmolíticas</w:t>
            </w:r>
            <w:proofErr w:type="spellEnd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→ potencializam alívio da ansiedade.</w:t>
            </w:r>
          </w:p>
        </w:tc>
      </w:tr>
      <w:tr w:rsidR="006D0C90" w:rsidRPr="001F07CB" w14:paraId="0AB1E29E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2A83AA6F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Melissa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Lippia</w:t>
            </w:r>
            <w:proofErr w:type="spellEnd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 alba (erva-cidreira)</w:t>
            </w:r>
          </w:p>
        </w:tc>
        <w:tc>
          <w:tcPr>
            <w:tcW w:w="1103" w:type="pct"/>
            <w:vAlign w:val="center"/>
            <w:hideMark/>
          </w:tcPr>
          <w:p w14:paraId="182E1CBF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(Sinergia Forte)</w:t>
            </w:r>
          </w:p>
        </w:tc>
        <w:tc>
          <w:tcPr>
            <w:tcW w:w="2788" w:type="pct"/>
            <w:vAlign w:val="center"/>
            <w:hideMark/>
          </w:tcPr>
          <w:p w14:paraId="3C119C9C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Muito similares (</w:t>
            </w:r>
            <w:proofErr w:type="spellStart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lemon</w:t>
            </w:r>
            <w:proofErr w:type="spellEnd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balm</w:t>
            </w:r>
            <w:proofErr w:type="spellEnd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+ cidreira brasileira) → somam efeitos.</w:t>
            </w:r>
          </w:p>
        </w:tc>
      </w:tr>
      <w:tr w:rsidR="006D0C90" w:rsidRPr="001F07CB" w14:paraId="6857D2F3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654F87FC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Sabugueiro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Echinacea</w:t>
            </w:r>
            <w:proofErr w:type="spellEnd"/>
          </w:p>
        </w:tc>
        <w:tc>
          <w:tcPr>
            <w:tcW w:w="1103" w:type="pct"/>
            <w:vAlign w:val="center"/>
            <w:hideMark/>
          </w:tcPr>
          <w:p w14:paraId="3720BE6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(Sinergia Forte)</w:t>
            </w:r>
          </w:p>
        </w:tc>
        <w:tc>
          <w:tcPr>
            <w:tcW w:w="2788" w:type="pct"/>
            <w:vAlign w:val="center"/>
            <w:hideMark/>
          </w:tcPr>
          <w:p w14:paraId="7E35C99D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Imunoestimulante + antiviral → prevenção/tratamento de gripe reforçado​</w:t>
            </w:r>
          </w:p>
          <w:p w14:paraId="70847575" w14:textId="77777777" w:rsidR="006D0C90" w:rsidRPr="001F07CB" w:rsidRDefault="0000000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hyperlink r:id="rId11" w:anchor=":~:text=Influenza%20is%20largely%20distinguished%20from,%282" w:tgtFrame="_blank" w:history="1">
              <w:r w:rsidR="006D0C90" w:rsidRPr="001F07CB">
                <w:rPr>
                  <w:rFonts w:ascii="Arial" w:eastAsia="Times New Roman" w:hAnsi="Arial" w:cs="Arial"/>
                  <w:color w:val="0000FF"/>
                  <w:kern w:val="0"/>
                  <w:sz w:val="16"/>
                  <w:szCs w:val="16"/>
                  <w:u w:val="single"/>
                  <w:lang w:eastAsia="pt-BR"/>
                  <w14:ligatures w14:val="none"/>
                </w:rPr>
                <w:t>rootsofwellnessayurveda.com</w:t>
              </w:r>
            </w:hyperlink>
          </w:p>
          <w:p w14:paraId="249AF939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6D0C90" w:rsidRPr="001F07CB" w14:paraId="03C2F97B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0C44ACE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Ginkgo</w:t>
            </w:r>
            <w:proofErr w:type="spellEnd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Ginseng</w:t>
            </w:r>
            <w:proofErr w:type="spellEnd"/>
          </w:p>
        </w:tc>
        <w:tc>
          <w:tcPr>
            <w:tcW w:w="1103" w:type="pct"/>
            <w:vAlign w:val="center"/>
            <w:hideMark/>
          </w:tcPr>
          <w:p w14:paraId="41AA516B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(Sinergia Forte)</w:t>
            </w:r>
          </w:p>
        </w:tc>
        <w:tc>
          <w:tcPr>
            <w:tcW w:w="2788" w:type="pct"/>
            <w:vAlign w:val="center"/>
            <w:hideMark/>
          </w:tcPr>
          <w:p w14:paraId="3E02497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Nootrópicos</w:t>
            </w:r>
            <w:proofErr w:type="spellEnd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complementares → melhora cognitiva superior​</w:t>
            </w:r>
          </w:p>
          <w:p w14:paraId="78CA3585" w14:textId="77777777" w:rsidR="006D0C90" w:rsidRPr="001F07CB" w:rsidRDefault="0000000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hyperlink r:id="rId12" w:anchor=":~:text=The%20ginkgo%2Fginseng%20combination%20significantly%20improved,week%20washout" w:tgtFrame="_blank" w:history="1">
              <w:r w:rsidR="006D0C90" w:rsidRPr="001F07CB">
                <w:rPr>
                  <w:rFonts w:ascii="Arial" w:eastAsia="Times New Roman" w:hAnsi="Arial" w:cs="Arial"/>
                  <w:color w:val="0000FF"/>
                  <w:kern w:val="0"/>
                  <w:sz w:val="16"/>
                  <w:szCs w:val="16"/>
                  <w:u w:val="single"/>
                  <w:lang w:eastAsia="pt-BR"/>
                  <w14:ligatures w14:val="none"/>
                </w:rPr>
                <w:t>drugdiscoveryonline.com</w:t>
              </w:r>
            </w:hyperlink>
          </w:p>
          <w:p w14:paraId="00742BD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6D0C90" w:rsidRPr="001F07CB" w14:paraId="773B7D03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69E98866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Camomila + Hortelã</w:t>
            </w:r>
          </w:p>
        </w:tc>
        <w:tc>
          <w:tcPr>
            <w:tcW w:w="1103" w:type="pct"/>
            <w:vAlign w:val="center"/>
            <w:hideMark/>
          </w:tcPr>
          <w:p w14:paraId="3F22968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(Complementar)</w:t>
            </w:r>
          </w:p>
        </w:tc>
        <w:tc>
          <w:tcPr>
            <w:tcW w:w="2788" w:type="pct"/>
            <w:vAlign w:val="center"/>
            <w:hideMark/>
          </w:tcPr>
          <w:p w14:paraId="2CF612C9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Calmante + digestivo → combo para ansiedade com desconforto gástrico.</w:t>
            </w:r>
          </w:p>
        </w:tc>
      </w:tr>
      <w:tr w:rsidR="006D0C90" w:rsidRPr="001F07CB" w14:paraId="4E0F0986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4037CDA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Alecrim + Chá Verde</w:t>
            </w:r>
          </w:p>
        </w:tc>
        <w:tc>
          <w:tcPr>
            <w:tcW w:w="1103" w:type="pct"/>
            <w:vAlign w:val="center"/>
            <w:hideMark/>
          </w:tcPr>
          <w:p w14:paraId="37DA7423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(Complementar)</w:t>
            </w:r>
          </w:p>
        </w:tc>
        <w:tc>
          <w:tcPr>
            <w:tcW w:w="2788" w:type="pct"/>
            <w:vAlign w:val="center"/>
            <w:hideMark/>
          </w:tcPr>
          <w:p w14:paraId="52A63A15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Ambos antioxidantes, estimulam mente de formas distintas (complementares).</w:t>
            </w:r>
          </w:p>
        </w:tc>
      </w:tr>
      <w:tr w:rsidR="006D0C90" w:rsidRPr="001F07CB" w14:paraId="570FACB4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31ED47F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Cúrcuma + Canela</w:t>
            </w:r>
          </w:p>
        </w:tc>
        <w:tc>
          <w:tcPr>
            <w:tcW w:w="1103" w:type="pct"/>
            <w:vAlign w:val="center"/>
            <w:hideMark/>
          </w:tcPr>
          <w:p w14:paraId="76EF03A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(Complementar)</w:t>
            </w:r>
          </w:p>
        </w:tc>
        <w:tc>
          <w:tcPr>
            <w:tcW w:w="2788" w:type="pct"/>
            <w:vAlign w:val="center"/>
            <w:hideMark/>
          </w:tcPr>
          <w:p w14:paraId="4A6D1D73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Anti-inflamatório + hipoglicemiante → metabólico equilibrado (uso comum).</w:t>
            </w:r>
          </w:p>
        </w:tc>
      </w:tr>
      <w:tr w:rsidR="006D0C90" w:rsidRPr="001F07CB" w14:paraId="4DC48910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0F614CC3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Cimicifuga</w:t>
            </w:r>
            <w:proofErr w:type="spellEnd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Vitex</w:t>
            </w:r>
            <w:proofErr w:type="spellEnd"/>
          </w:p>
        </w:tc>
        <w:tc>
          <w:tcPr>
            <w:tcW w:w="1103" w:type="pct"/>
            <w:vAlign w:val="center"/>
            <w:hideMark/>
          </w:tcPr>
          <w:p w14:paraId="22CA806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(Complementar)</w:t>
            </w:r>
          </w:p>
        </w:tc>
        <w:tc>
          <w:tcPr>
            <w:tcW w:w="2788" w:type="pct"/>
            <w:vAlign w:val="center"/>
            <w:hideMark/>
          </w:tcPr>
          <w:p w14:paraId="4DABAAC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Moduladores hormonais distintos → abordagem ampla em sintomas do climatério.</w:t>
            </w:r>
          </w:p>
        </w:tc>
      </w:tr>
      <w:tr w:rsidR="006D0C90" w:rsidRPr="001F07CB" w14:paraId="07D997C9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07CAF7B1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Dente-de-leão + Hibisco</w:t>
            </w:r>
          </w:p>
        </w:tc>
        <w:tc>
          <w:tcPr>
            <w:tcW w:w="1103" w:type="pct"/>
            <w:vAlign w:val="center"/>
            <w:hideMark/>
          </w:tcPr>
          <w:p w14:paraId="108D02B7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(Complementar)</w:t>
            </w:r>
          </w:p>
        </w:tc>
        <w:tc>
          <w:tcPr>
            <w:tcW w:w="2788" w:type="pct"/>
            <w:vAlign w:val="center"/>
            <w:hideMark/>
          </w:tcPr>
          <w:p w14:paraId="0CADEFE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Diuréticos/</w:t>
            </w:r>
            <w:proofErr w:type="spellStart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detox</w:t>
            </w:r>
            <w:proofErr w:type="spellEnd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complementares (fígado + rins) → efeito depurativo balanceado.</w:t>
            </w:r>
          </w:p>
        </w:tc>
      </w:tr>
      <w:tr w:rsidR="006D0C90" w:rsidRPr="001F07CB" w14:paraId="7CEF3C68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41A0C134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Ginkgo</w:t>
            </w:r>
            <w:proofErr w:type="spellEnd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Rhodiola</w:t>
            </w:r>
            <w:proofErr w:type="spellEnd"/>
          </w:p>
        </w:tc>
        <w:tc>
          <w:tcPr>
            <w:tcW w:w="1103" w:type="pct"/>
            <w:vAlign w:val="center"/>
            <w:hideMark/>
          </w:tcPr>
          <w:p w14:paraId="4F20B0CC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(Complementar)</w:t>
            </w:r>
          </w:p>
        </w:tc>
        <w:tc>
          <w:tcPr>
            <w:tcW w:w="2788" w:type="pct"/>
            <w:vAlign w:val="center"/>
            <w:hideMark/>
          </w:tcPr>
          <w:p w14:paraId="342B51D6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Adaptógeno</w:t>
            </w:r>
            <w:proofErr w:type="spellEnd"/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+ vasodilatador cerebral → ambos melhoram resistência ao estresse.</w:t>
            </w:r>
          </w:p>
        </w:tc>
      </w:tr>
      <w:tr w:rsidR="006D0C90" w:rsidRPr="001F07CB" w14:paraId="61D01FE2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00ED4E6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Camomila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Echinacea</w:t>
            </w:r>
            <w:proofErr w:type="spellEnd"/>
          </w:p>
        </w:tc>
        <w:tc>
          <w:tcPr>
            <w:tcW w:w="1103" w:type="pct"/>
            <w:vAlign w:val="center"/>
            <w:hideMark/>
          </w:tcPr>
          <w:p w14:paraId="2AE6942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(Neutro)</w:t>
            </w:r>
          </w:p>
        </w:tc>
        <w:tc>
          <w:tcPr>
            <w:tcW w:w="2788" w:type="pct"/>
            <w:vAlign w:val="center"/>
            <w:hideMark/>
          </w:tcPr>
          <w:p w14:paraId="6ACD5203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Atuam em sistemas distintos (nervoso vs. imune) → cada qual efetivo separadamente.</w:t>
            </w:r>
          </w:p>
        </w:tc>
      </w:tr>
      <w:tr w:rsidR="006D0C90" w:rsidRPr="001F07CB" w14:paraId="3637C9FA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0863FACB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Ginseng</w:t>
            </w:r>
            <w:proofErr w:type="spellEnd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 + Boldo-do-Chile</w:t>
            </w:r>
          </w:p>
        </w:tc>
        <w:tc>
          <w:tcPr>
            <w:tcW w:w="1103" w:type="pct"/>
            <w:vAlign w:val="center"/>
            <w:hideMark/>
          </w:tcPr>
          <w:p w14:paraId="7E99017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(Neutro)</w:t>
            </w:r>
          </w:p>
        </w:tc>
        <w:tc>
          <w:tcPr>
            <w:tcW w:w="2788" w:type="pct"/>
            <w:vAlign w:val="center"/>
            <w:hideMark/>
          </w:tcPr>
          <w:p w14:paraId="4EDAAD51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Estimulante sistêmico vs. digestivo hepático – efeitos independentes.</w:t>
            </w:r>
          </w:p>
        </w:tc>
      </w:tr>
      <w:tr w:rsidR="006D0C90" w:rsidRPr="001F07CB" w14:paraId="66959FB2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154C5596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Lavanda + Sabugueiro</w:t>
            </w:r>
          </w:p>
        </w:tc>
        <w:tc>
          <w:tcPr>
            <w:tcW w:w="1103" w:type="pct"/>
            <w:vAlign w:val="center"/>
            <w:hideMark/>
          </w:tcPr>
          <w:p w14:paraId="2C7C2632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(Neutro)</w:t>
            </w:r>
          </w:p>
        </w:tc>
        <w:tc>
          <w:tcPr>
            <w:tcW w:w="2788" w:type="pct"/>
            <w:vAlign w:val="center"/>
            <w:hideMark/>
          </w:tcPr>
          <w:p w14:paraId="31D229AD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Calmante leve + sudorífico de resfriado – usos diferentes, sem interferência.</w:t>
            </w:r>
          </w:p>
        </w:tc>
      </w:tr>
      <w:tr w:rsidR="006D0C90" w:rsidRPr="001F07CB" w14:paraId="4212AE59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151C654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Valeriana + Guaraná</w:t>
            </w:r>
          </w:p>
        </w:tc>
        <w:tc>
          <w:tcPr>
            <w:tcW w:w="1103" w:type="pct"/>
            <w:vAlign w:val="center"/>
            <w:hideMark/>
          </w:tcPr>
          <w:p w14:paraId="7D671B8D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(Antagonismo Leve)</w:t>
            </w:r>
          </w:p>
        </w:tc>
        <w:tc>
          <w:tcPr>
            <w:tcW w:w="2788" w:type="pct"/>
            <w:vAlign w:val="center"/>
            <w:hideMark/>
          </w:tcPr>
          <w:p w14:paraId="7798F598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Sedativo vs. estimulante → um atenua parcialmente o efeito do outro.</w:t>
            </w:r>
          </w:p>
        </w:tc>
      </w:tr>
      <w:tr w:rsidR="006D0C90" w:rsidRPr="001F07CB" w14:paraId="0474EEAA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61B755FC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Camomila + Chá Preto/Mate</w:t>
            </w:r>
          </w:p>
        </w:tc>
        <w:tc>
          <w:tcPr>
            <w:tcW w:w="1103" w:type="pct"/>
            <w:vAlign w:val="center"/>
            <w:hideMark/>
          </w:tcPr>
          <w:p w14:paraId="516A9397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(Antagonismo Leve)</w:t>
            </w:r>
          </w:p>
        </w:tc>
        <w:tc>
          <w:tcPr>
            <w:tcW w:w="2788" w:type="pct"/>
            <w:vAlign w:val="center"/>
            <w:hideMark/>
          </w:tcPr>
          <w:p w14:paraId="00ACE90B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Calmante suave vs. cafeína → redução mútua de eficácia (a cafeína “acorda”, contrariando a calmaria).</w:t>
            </w:r>
          </w:p>
        </w:tc>
      </w:tr>
      <w:tr w:rsidR="006D0C90" w:rsidRPr="001F07CB" w14:paraId="5B9D8137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14F4B4EC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Hortelã + Gengibre</w:t>
            </w:r>
          </w:p>
        </w:tc>
        <w:tc>
          <w:tcPr>
            <w:tcW w:w="1103" w:type="pct"/>
            <w:vAlign w:val="center"/>
            <w:hideMark/>
          </w:tcPr>
          <w:p w14:paraId="0ACD7373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(Antagonismo Leve)</w:t>
            </w:r>
          </w:p>
        </w:tc>
        <w:tc>
          <w:tcPr>
            <w:tcW w:w="2788" w:type="pct"/>
            <w:vAlign w:val="center"/>
            <w:hideMark/>
          </w:tcPr>
          <w:p w14:paraId="06D2AF58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Hortelã esfria/acalma estômago, gengibre aquece/estimula digestão → pequeno antagonismo no trato GI (usados juntos ainda são benéficos, porém cada um menos pronunciado).</w:t>
            </w:r>
          </w:p>
        </w:tc>
      </w:tr>
      <w:tr w:rsidR="006D0C90" w:rsidRPr="001F07CB" w14:paraId="122C6989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4472FA7F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Guaraná + Mulungu</w:t>
            </w:r>
          </w:p>
        </w:tc>
        <w:tc>
          <w:tcPr>
            <w:tcW w:w="1103" w:type="pct"/>
            <w:vAlign w:val="center"/>
            <w:hideMark/>
          </w:tcPr>
          <w:p w14:paraId="0A00AC3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(Antagonismo Forte)</w:t>
            </w:r>
          </w:p>
        </w:tc>
        <w:tc>
          <w:tcPr>
            <w:tcW w:w="2788" w:type="pct"/>
            <w:vAlign w:val="center"/>
            <w:hideMark/>
          </w:tcPr>
          <w:p w14:paraId="56DA5CF1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Estímulo intenso vs. sedação profunda → cancelamento quase total e sobrecarga fisiológica.</w:t>
            </w:r>
          </w:p>
        </w:tc>
      </w:tr>
      <w:tr w:rsidR="006D0C90" w:rsidRPr="001F07CB" w14:paraId="7093AB98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4CD97A65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Noz-de-cola + Maracujá</w:t>
            </w:r>
          </w:p>
        </w:tc>
        <w:tc>
          <w:tcPr>
            <w:tcW w:w="1103" w:type="pct"/>
            <w:vAlign w:val="center"/>
            <w:hideMark/>
          </w:tcPr>
          <w:p w14:paraId="4E39556C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(Antagonismo Forte)</w:t>
            </w:r>
          </w:p>
        </w:tc>
        <w:tc>
          <w:tcPr>
            <w:tcW w:w="2788" w:type="pct"/>
            <w:vAlign w:val="center"/>
            <w:hideMark/>
          </w:tcPr>
          <w:p w14:paraId="088EFD2F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Cafeína alta vs. passiflora calmante → efeitos opostos; combinação ilógica para fins terapêuticos.</w:t>
            </w:r>
          </w:p>
        </w:tc>
      </w:tr>
      <w:tr w:rsidR="006D0C90" w:rsidRPr="001F07CB" w14:paraId="475A219B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6C2AD6E9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Alcaçuz + Oliveira (folha)</w:t>
            </w:r>
          </w:p>
        </w:tc>
        <w:tc>
          <w:tcPr>
            <w:tcW w:w="1103" w:type="pct"/>
            <w:vAlign w:val="center"/>
            <w:hideMark/>
          </w:tcPr>
          <w:p w14:paraId="428389AD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(Antagonismo Forte)</w:t>
            </w:r>
          </w:p>
        </w:tc>
        <w:tc>
          <w:tcPr>
            <w:tcW w:w="2788" w:type="pct"/>
            <w:vAlign w:val="center"/>
            <w:hideMark/>
          </w:tcPr>
          <w:p w14:paraId="4B459461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Alcaçuz aumenta pressão, oliveira reduz → um contraria diretamente o outro (ineficaz juntos).</w:t>
            </w:r>
          </w:p>
        </w:tc>
      </w:tr>
      <w:tr w:rsidR="006D0C90" w:rsidRPr="001F07CB" w14:paraId="0F49D818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67C8256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Hypericum (Erva-de-São-João) + Valeriana</w:t>
            </w:r>
          </w:p>
        </w:tc>
        <w:tc>
          <w:tcPr>
            <w:tcW w:w="1103" w:type="pct"/>
            <w:vAlign w:val="center"/>
            <w:hideMark/>
          </w:tcPr>
          <w:p w14:paraId="044ECD9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(Antagonismo Forte)</w:t>
            </w:r>
          </w:p>
        </w:tc>
        <w:tc>
          <w:tcPr>
            <w:tcW w:w="2788" w:type="pct"/>
            <w:vAlign w:val="center"/>
            <w:hideMark/>
          </w:tcPr>
          <w:p w14:paraId="5E30C030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Antidepressivo estimulante vs. depressor do SNC → fins diferentes conflitantes (pode anular benefícios antidepressivos do Hypericum).</w:t>
            </w:r>
          </w:p>
        </w:tc>
      </w:tr>
      <w:tr w:rsidR="006D0C90" w:rsidRPr="001F07CB" w14:paraId="05F0ECAC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1EF3BE5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Guaraná + Chá Verde + Noz-de-cola</w:t>
            </w:r>
          </w:p>
        </w:tc>
        <w:tc>
          <w:tcPr>
            <w:tcW w:w="1103" w:type="pct"/>
            <w:vAlign w:val="center"/>
            <w:hideMark/>
          </w:tcPr>
          <w:p w14:paraId="07DA4DED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(Não seguro)</w:t>
            </w:r>
          </w:p>
        </w:tc>
        <w:tc>
          <w:tcPr>
            <w:tcW w:w="2788" w:type="pct"/>
            <w:vAlign w:val="center"/>
            <w:hideMark/>
          </w:tcPr>
          <w:p w14:paraId="5CEC3EA9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Soma de cafeína de múltiplas fontes → risco de efeitos adversos (taquicardia, insônia)​</w:t>
            </w:r>
          </w:p>
          <w:p w14:paraId="6E2CB0C2" w14:textId="77777777" w:rsidR="006D0C90" w:rsidRPr="001F07CB" w:rsidRDefault="0000000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hyperlink r:id="rId13" w:anchor=":~:text=O%20que%20acontece%20se%20misturar,v%C3%A1rios%20ch%C3%A1s" w:tgtFrame="_blank" w:history="1">
              <w:r w:rsidR="006D0C90" w:rsidRPr="001F07CB">
                <w:rPr>
                  <w:rFonts w:ascii="Arial" w:eastAsia="Times New Roman" w:hAnsi="Arial" w:cs="Arial"/>
                  <w:color w:val="0000FF"/>
                  <w:kern w:val="0"/>
                  <w:sz w:val="16"/>
                  <w:szCs w:val="16"/>
                  <w:u w:val="single"/>
                  <w:lang w:eastAsia="pt-BR"/>
                  <w14:ligatures w14:val="none"/>
                </w:rPr>
                <w:t>portalinsights.com.br</w:t>
              </w:r>
            </w:hyperlink>
          </w:p>
          <w:p w14:paraId="4385FABD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6D0C90" w:rsidRPr="001F07CB" w14:paraId="5A5C1DDB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06B424F5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 xml:space="preserve">Hypericum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Rhodiola</w:t>
            </w:r>
            <w:proofErr w:type="spellEnd"/>
          </w:p>
        </w:tc>
        <w:tc>
          <w:tcPr>
            <w:tcW w:w="1103" w:type="pct"/>
            <w:vAlign w:val="center"/>
            <w:hideMark/>
          </w:tcPr>
          <w:p w14:paraId="47FA6D65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(Não seguro)</w:t>
            </w:r>
          </w:p>
        </w:tc>
        <w:tc>
          <w:tcPr>
            <w:tcW w:w="2788" w:type="pct"/>
            <w:vAlign w:val="center"/>
            <w:hideMark/>
          </w:tcPr>
          <w:p w14:paraId="6D43A3D7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Possível excesso de neurotransmissores/indução enzimática → risco de interação indesejada (serotonina elevada, interferência em medicamentos)​</w:t>
            </w:r>
          </w:p>
          <w:p w14:paraId="56F15B60" w14:textId="77777777" w:rsidR="006D0C90" w:rsidRPr="001F07CB" w:rsidRDefault="0000000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hyperlink r:id="rId14" w:anchor=":~:text=of%20evidences%20of%20interactions%20were,and%20antimicrobial%20drugs%2C%20most%20of" w:tgtFrame="_blank" w:history="1">
              <w:r w:rsidR="006D0C90" w:rsidRPr="001F07CB">
                <w:rPr>
                  <w:rFonts w:ascii="Arial" w:eastAsia="Times New Roman" w:hAnsi="Arial" w:cs="Arial"/>
                  <w:color w:val="0000FF"/>
                  <w:kern w:val="0"/>
                  <w:sz w:val="16"/>
                  <w:szCs w:val="16"/>
                  <w:u w:val="single"/>
                  <w:lang w:eastAsia="pt-BR"/>
                  <w14:ligatures w14:val="none"/>
                </w:rPr>
                <w:t>repositorio.ufal.br</w:t>
              </w:r>
            </w:hyperlink>
          </w:p>
          <w:p w14:paraId="044B5DD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6D0C90" w:rsidRPr="001F07CB" w14:paraId="0FCC53D0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1AF2341A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Ginkgo</w:t>
            </w:r>
            <w:proofErr w:type="spellEnd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 + Canela (doses altas)</w:t>
            </w:r>
          </w:p>
        </w:tc>
        <w:tc>
          <w:tcPr>
            <w:tcW w:w="1103" w:type="pct"/>
            <w:vAlign w:val="center"/>
            <w:hideMark/>
          </w:tcPr>
          <w:p w14:paraId="58C57F3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(Não seguro)</w:t>
            </w:r>
          </w:p>
        </w:tc>
        <w:tc>
          <w:tcPr>
            <w:tcW w:w="2788" w:type="pct"/>
            <w:vAlign w:val="center"/>
            <w:hideMark/>
          </w:tcPr>
          <w:p w14:paraId="2BAF5766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Ambos com efeito anticoagulante → potencialização perigosa (risco de sangramento)​</w:t>
            </w:r>
          </w:p>
          <w:p w14:paraId="00B8B0C9" w14:textId="77777777" w:rsidR="006D0C90" w:rsidRPr="001F07CB" w:rsidRDefault="0000000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hyperlink r:id="rId15" w:anchor=":~:text=Uma%20pesquisa%20afirmou%20que%20a,mental%2C%20convuls%C3%A3o%20e%20dor%20muscular" w:tgtFrame="_blank" w:history="1">
              <w:r w:rsidR="006D0C90" w:rsidRPr="001F07CB">
                <w:rPr>
                  <w:rFonts w:ascii="Arial" w:eastAsia="Times New Roman" w:hAnsi="Arial" w:cs="Arial"/>
                  <w:color w:val="0000FF"/>
                  <w:kern w:val="0"/>
                  <w:sz w:val="16"/>
                  <w:szCs w:val="16"/>
                  <w:u w:val="single"/>
                  <w:lang w:eastAsia="pt-BR"/>
                  <w14:ligatures w14:val="none"/>
                </w:rPr>
                <w:t>portalinsights.com.br</w:t>
              </w:r>
            </w:hyperlink>
          </w:p>
          <w:p w14:paraId="4862C27F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6D0C90" w:rsidRPr="001F07CB" w14:paraId="518D379A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2CB8110E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Alcaçuz (crônico) + Hibisco</w:t>
            </w:r>
          </w:p>
        </w:tc>
        <w:tc>
          <w:tcPr>
            <w:tcW w:w="1103" w:type="pct"/>
            <w:vAlign w:val="center"/>
            <w:hideMark/>
          </w:tcPr>
          <w:p w14:paraId="2C730C4C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(Não seguro)</w:t>
            </w:r>
          </w:p>
        </w:tc>
        <w:tc>
          <w:tcPr>
            <w:tcW w:w="2788" w:type="pct"/>
            <w:vAlign w:val="center"/>
            <w:hideMark/>
          </w:tcPr>
          <w:p w14:paraId="54AB7AA7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Alcaçuz causa retenção de sódio/água, Hibisco diurético → sobrecarga renal e desequilíbrio eletrolítico, arriscado para pressão e coração.</w:t>
            </w:r>
          </w:p>
        </w:tc>
      </w:tr>
      <w:tr w:rsidR="006D0C90" w:rsidRPr="001F07CB" w14:paraId="07E60DED" w14:textId="77777777" w:rsidTr="006D0C90">
        <w:trPr>
          <w:trHeight w:val="255"/>
        </w:trPr>
        <w:tc>
          <w:tcPr>
            <w:tcW w:w="1108" w:type="pct"/>
            <w:vAlign w:val="center"/>
            <w:hideMark/>
          </w:tcPr>
          <w:p w14:paraId="319AEE1B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 xml:space="preserve">Boldo + </w:t>
            </w:r>
            <w:proofErr w:type="spellStart"/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Cimicifuga</w:t>
            </w:r>
            <w:proofErr w:type="spellEnd"/>
          </w:p>
        </w:tc>
        <w:tc>
          <w:tcPr>
            <w:tcW w:w="1103" w:type="pct"/>
            <w:vAlign w:val="center"/>
            <w:hideMark/>
          </w:tcPr>
          <w:p w14:paraId="1FAD4F83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 xml:space="preserve"> (Não seguro)</w:t>
            </w:r>
          </w:p>
        </w:tc>
        <w:tc>
          <w:tcPr>
            <w:tcW w:w="2788" w:type="pct"/>
            <w:vAlign w:val="center"/>
            <w:hideMark/>
          </w:tcPr>
          <w:p w14:paraId="56D015ED" w14:textId="77777777" w:rsidR="006D0C90" w:rsidRPr="001F07CB" w:rsidRDefault="006D0C90" w:rsidP="00E83B50">
            <w:pPr>
              <w:jc w:val="both"/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07CB">
              <w:rPr>
                <w:rFonts w:ascii="Arial" w:eastAsia="Times New Roman" w:hAnsi="Arial" w:cs="Arial"/>
                <w:kern w:val="0"/>
                <w:sz w:val="16"/>
                <w:szCs w:val="16"/>
                <w:lang w:eastAsia="pt-BR"/>
                <w14:ligatures w14:val="none"/>
              </w:rPr>
              <w:t>Possível somatória de hepatotoxicidade (uso simultâneo pode sobrecarregar o fígado) – evitar a combinação sem orientação especializada.</w:t>
            </w:r>
          </w:p>
        </w:tc>
      </w:tr>
    </w:tbl>
    <w:p w14:paraId="58D4D3E7" w14:textId="62B3A171" w:rsidR="006D0C90" w:rsidRPr="00CC4543" w:rsidRDefault="006D0C90" w:rsidP="00E83B50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1F07CB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Legenda:</w:t>
      </w:r>
      <w:r w:rsidRPr="001F07CB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r w:rsidRPr="001F07CB">
        <w:rPr>
          <w:rFonts w:ascii="Arial" w:eastAsia="Times New Roman" w:hAnsi="Arial" w:cs="Arial"/>
          <w:i/>
          <w:iCs/>
          <w:kern w:val="0"/>
          <w:sz w:val="16"/>
          <w:szCs w:val="16"/>
          <w:lang w:eastAsia="pt-BR"/>
          <w14:ligatures w14:val="none"/>
        </w:rPr>
        <w:t>5 – Sinergia forte; 4 – Complementar; 3 – Neutro; 2 – Antagonismo leve; 1 – Antagonismo forte; 0 – Não seguro.</w:t>
      </w:r>
      <w:r w:rsidRPr="001F07CB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(As setas nos comentários indicam o efeito de um sobre o outro)</w:t>
      </w:r>
      <w:r w:rsidRPr="00CC4543">
        <w:rPr>
          <w:rFonts w:ascii="Arial" w:hAnsi="Arial" w:cs="Arial"/>
          <w:sz w:val="20"/>
          <w:szCs w:val="20"/>
        </w:rPr>
        <w:t xml:space="preserve"> </w:t>
      </w:r>
    </w:p>
    <w:sectPr w:rsidR="006D0C90" w:rsidRPr="00CC4543" w:rsidSect="006D0C90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28D3" w14:textId="77777777" w:rsidR="00572A2A" w:rsidRDefault="00572A2A" w:rsidP="00151A0A">
      <w:r>
        <w:separator/>
      </w:r>
    </w:p>
  </w:endnote>
  <w:endnote w:type="continuationSeparator" w:id="0">
    <w:p w14:paraId="06F50BB1" w14:textId="77777777" w:rsidR="00572A2A" w:rsidRDefault="00572A2A" w:rsidP="0015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0457" w14:textId="77777777" w:rsidR="00572A2A" w:rsidRDefault="00572A2A" w:rsidP="00151A0A">
      <w:r>
        <w:separator/>
      </w:r>
    </w:p>
  </w:footnote>
  <w:footnote w:type="continuationSeparator" w:id="0">
    <w:p w14:paraId="590C92B2" w14:textId="77777777" w:rsidR="00572A2A" w:rsidRDefault="00572A2A" w:rsidP="0015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D3C8" w14:textId="3D981C33" w:rsidR="00151A0A" w:rsidRDefault="00151A0A" w:rsidP="00151A0A">
    <w:pPr>
      <w:pStyle w:val="Cabealho"/>
      <w:jc w:val="left"/>
    </w:pPr>
    <w:r>
      <w:rPr>
        <w:noProof/>
      </w:rPr>
      <w:drawing>
        <wp:inline distT="0" distB="0" distL="0" distR="0" wp14:anchorId="302DCACC" wp14:editId="1340E336">
          <wp:extent cx="907759" cy="900000"/>
          <wp:effectExtent l="0" t="0" r="6985" b="0"/>
          <wp:docPr id="1573418905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117285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759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51A0A">
      <w:drawing>
        <wp:inline distT="0" distB="0" distL="0" distR="0" wp14:anchorId="7D072E55" wp14:editId="693175FF">
          <wp:extent cx="2197499" cy="720000"/>
          <wp:effectExtent l="0" t="0" r="0" b="4445"/>
          <wp:docPr id="1739274503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7420748" name="Imagem 1" descr="Desenho de personagem de desenho animado&#10;&#10;Descrição gerada automaticamente com confiança mé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7499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</w:t>
    </w:r>
  </w:p>
  <w:p w14:paraId="13D3DA73" w14:textId="18B66F8B" w:rsidR="00151A0A" w:rsidRDefault="00151A0A" w:rsidP="00151A0A">
    <w:pPr>
      <w:pStyle w:val="Cabealho"/>
      <w:jc w:val="left"/>
    </w:pPr>
  </w:p>
  <w:p w14:paraId="0D326A4F" w14:textId="77777777" w:rsidR="00151A0A" w:rsidRDefault="00151A0A" w:rsidP="00151A0A">
    <w:pPr>
      <w:pStyle w:val="Cabealh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1682"/>
    <w:multiLevelType w:val="multilevel"/>
    <w:tmpl w:val="4F3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12473"/>
    <w:multiLevelType w:val="multilevel"/>
    <w:tmpl w:val="350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E1B5D"/>
    <w:multiLevelType w:val="multilevel"/>
    <w:tmpl w:val="E56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443FB"/>
    <w:multiLevelType w:val="multilevel"/>
    <w:tmpl w:val="7E7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97292"/>
    <w:multiLevelType w:val="multilevel"/>
    <w:tmpl w:val="20D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573CE"/>
    <w:multiLevelType w:val="multilevel"/>
    <w:tmpl w:val="E90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0194C"/>
    <w:multiLevelType w:val="multilevel"/>
    <w:tmpl w:val="485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1308E"/>
    <w:multiLevelType w:val="multilevel"/>
    <w:tmpl w:val="C3F8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24B4F"/>
    <w:multiLevelType w:val="multilevel"/>
    <w:tmpl w:val="B85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22835"/>
    <w:multiLevelType w:val="multilevel"/>
    <w:tmpl w:val="62F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4087A"/>
    <w:multiLevelType w:val="multilevel"/>
    <w:tmpl w:val="D8E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84038"/>
    <w:multiLevelType w:val="multilevel"/>
    <w:tmpl w:val="ADC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1478C"/>
    <w:multiLevelType w:val="multilevel"/>
    <w:tmpl w:val="2B20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A28A2"/>
    <w:multiLevelType w:val="multilevel"/>
    <w:tmpl w:val="F9B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487726">
    <w:abstractNumId w:val="2"/>
  </w:num>
  <w:num w:numId="2" w16cid:durableId="1235630604">
    <w:abstractNumId w:val="10"/>
  </w:num>
  <w:num w:numId="3" w16cid:durableId="1998993058">
    <w:abstractNumId w:val="0"/>
  </w:num>
  <w:num w:numId="4" w16cid:durableId="1221819387">
    <w:abstractNumId w:val="6"/>
  </w:num>
  <w:num w:numId="5" w16cid:durableId="195310364">
    <w:abstractNumId w:val="3"/>
  </w:num>
  <w:num w:numId="6" w16cid:durableId="1462730340">
    <w:abstractNumId w:val="7"/>
  </w:num>
  <w:num w:numId="7" w16cid:durableId="1315530525">
    <w:abstractNumId w:val="11"/>
  </w:num>
  <w:num w:numId="8" w16cid:durableId="1807164043">
    <w:abstractNumId w:val="9"/>
  </w:num>
  <w:num w:numId="9" w16cid:durableId="1409688501">
    <w:abstractNumId w:val="5"/>
  </w:num>
  <w:num w:numId="10" w16cid:durableId="1019500749">
    <w:abstractNumId w:val="4"/>
  </w:num>
  <w:num w:numId="11" w16cid:durableId="1191797375">
    <w:abstractNumId w:val="8"/>
  </w:num>
  <w:num w:numId="12" w16cid:durableId="559101366">
    <w:abstractNumId w:val="12"/>
  </w:num>
  <w:num w:numId="13" w16cid:durableId="2107725487">
    <w:abstractNumId w:val="13"/>
  </w:num>
  <w:num w:numId="14" w16cid:durableId="1162627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6"/>
    <w:rsid w:val="00060314"/>
    <w:rsid w:val="00145CF2"/>
    <w:rsid w:val="00151A0A"/>
    <w:rsid w:val="001F07CB"/>
    <w:rsid w:val="00222B23"/>
    <w:rsid w:val="0036311A"/>
    <w:rsid w:val="003E4F6E"/>
    <w:rsid w:val="00520AA6"/>
    <w:rsid w:val="00572A2A"/>
    <w:rsid w:val="00645C6E"/>
    <w:rsid w:val="006D0C90"/>
    <w:rsid w:val="00A74FDF"/>
    <w:rsid w:val="00B63448"/>
    <w:rsid w:val="00CC4543"/>
    <w:rsid w:val="00E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6D556"/>
  <w15:chartTrackingRefBased/>
  <w15:docId w15:val="{93CDBC1B-BAC5-46F0-A9B3-6BB96B1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C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5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20AA6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0AA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0AA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20AA6"/>
    <w:rPr>
      <w:b/>
      <w:bCs/>
    </w:rPr>
  </w:style>
  <w:style w:type="character" w:styleId="nfase">
    <w:name w:val="Emphasis"/>
    <w:basedOn w:val="Fontepargpadro"/>
    <w:uiPriority w:val="20"/>
    <w:qFormat/>
    <w:rsid w:val="00520AA6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5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5CF2"/>
    <w:pPr>
      <w:ind w:left="720"/>
      <w:contextualSpacing/>
    </w:pPr>
  </w:style>
  <w:style w:type="character" w:customStyle="1" w:styleId="truncate">
    <w:name w:val="truncate"/>
    <w:basedOn w:val="Fontepargpadro"/>
    <w:rsid w:val="00CC4543"/>
  </w:style>
  <w:style w:type="table" w:styleId="Tabelacomgrade">
    <w:name w:val="Table Grid"/>
    <w:basedOn w:val="Tabelanormal"/>
    <w:uiPriority w:val="39"/>
    <w:rsid w:val="00CC4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D0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0C90"/>
    <w:pPr>
      <w:spacing w:line="259" w:lineRule="auto"/>
      <w:jc w:val="left"/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D0C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D0C9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D0C9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51A0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1A0A"/>
  </w:style>
  <w:style w:type="paragraph" w:styleId="Rodap">
    <w:name w:val="footer"/>
    <w:basedOn w:val="Normal"/>
    <w:link w:val="RodapChar"/>
    <w:uiPriority w:val="99"/>
    <w:unhideWhenUsed/>
    <w:rsid w:val="00151A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51A0A"/>
  </w:style>
  <w:style w:type="character" w:customStyle="1" w:styleId="oypena">
    <w:name w:val="oypena"/>
    <w:basedOn w:val="Fontepargpadro"/>
    <w:rsid w:val="0015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ortalinsights.com.br/perguntas-frequentes/quais-os-chas-que-nao-podem-ser-misturad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rugdiscoveryonline.com/doc/clinical-study-reveals-ginko-ginseng-combinat-00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otsofwellnessayurveda.com/flu-elderberry-echinace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rtalinsights.com.br/perguntas-frequentes/quais-os-chas-que-nao-podem-ser-misturados" TargetMode="External"/><Relationship Id="rId10" Type="http://schemas.openxmlformats.org/officeDocument/2006/relationships/hyperlink" Target="https://drtorihudson.com/general/chronic-insomnia-valerianhopspassion-flower-combination-comparable-to-zolpid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lo.br/j/babt/a/3DPvwWcjnsXY7qgWHHGJhLz/" TargetMode="External"/><Relationship Id="rId14" Type="http://schemas.openxmlformats.org/officeDocument/2006/relationships/hyperlink" Target="https://www.repositorio.ufal.br/handle/123456789/962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25A5-91E1-41BA-AA84-4D7BA1EC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6186</Words>
  <Characters>33408</Characters>
  <Application>Microsoft Office Word</Application>
  <DocSecurity>0</DocSecurity>
  <Lines>278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Felipe Brock</dc:creator>
  <cp:keywords/>
  <dc:description/>
  <cp:lastModifiedBy>Gustavo Felipe Brock</cp:lastModifiedBy>
  <cp:revision>4</cp:revision>
  <dcterms:created xsi:type="dcterms:W3CDTF">2025-03-11T01:27:00Z</dcterms:created>
  <dcterms:modified xsi:type="dcterms:W3CDTF">2025-03-11T13:37:00Z</dcterms:modified>
</cp:coreProperties>
</file>