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132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49808" cy="7498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mini_Generated_Image_dmko32dmko32dmko.jfif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A49"/>
                <w:sz w:val="32"/>
              </w:rPr>
              <w:t>DESAFIO QUANT AI 2026 - RELATÓRIO FINAL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B68A3A"/>
                <w:sz w:val="22"/>
              </w:rPr>
              <w:t>Harpia - Estratégia Quantitativa Multimercado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5C6673"/>
                <w:sz w:val="16"/>
              </w:rPr>
              <w:t>Black-Litterman + HRP | ensemble sensível a regime | execução e governança de risco</w:t>
            </w:r>
          </w:p>
        </w:tc>
      </w:tr>
    </w:tbl>
    <w:p>
      <w:pPr>
        <w:spacing w:before="40" w:after="100"/>
        <w:pBdr>
          <w:bottom w:val="single" w:sz="16" w:space="1" w:color="192A4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Nome do robô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Harpia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Tipo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Multimercado quantitativo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Plataforma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Python + TypeScript</w:t>
            </w:r>
          </w:p>
        </w:tc>
      </w:tr>
      <w:tr>
        <w:trPr>
          <w:cantSplit/>
        </w:trPr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Universo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B3 + ativos globais de hedge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Benchmark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CDI | Ibovespa (ref.)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Snapshot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12/08/2026 | AUM simulado R$ 100 mi</w:t>
            </w:r>
          </w:p>
        </w:tc>
      </w:tr>
    </w:tbl>
    <w:p>
      <w:pPr>
        <w:spacing w:after="0"/>
      </w:pP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1. Resumo Executivo</w:t>
      </w:r>
    </w:p>
    <w:p>
      <w:pPr>
        <w:spacing w:before="0" w:after="100" w:line="257" w:lineRule="auto"/>
      </w:pPr>
      <w:r>
        <w:rPr>
          <w:rFonts w:ascii="Calibri" w:hAnsi="Calibri"/>
          <w:b/>
          <w:i w:val="0"/>
          <w:color w:val="242C35"/>
          <w:sz w:val="19"/>
        </w:rPr>
        <w:t xml:space="preserve">A Harpia nasceu de uma pergunta simples: </w:t>
      </w:r>
      <w:r>
        <w:rPr>
          <w:rFonts w:ascii="Calibri" w:hAnsi="Calibri"/>
          <w:b w:val="0"/>
          <w:i w:val="0"/>
          <w:color w:val="242C35"/>
          <w:sz w:val="19"/>
        </w:rPr>
        <w:t>como combinar sinais diferentes - e inevitavelmente ruidosos - sem transformar cada previsão em uma aposta excessiva? Em vez de ligar um score diretamente ao peso da carteira, separamos o processo em etapas: formar convicções, traduzir essas convicções em alocação, executar respeitando liquidez e, por fim, submeter a carteira a limites de risco que independem do otimismo do modelo.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 desenho combina sinais macro, de mercado e notícias/LLM com uma camada de views probabilísticas para Black-Litterman, uma âncora de diversificação por HRP e um ensemble de modelos cujo peso varia conforme o regime. Na ponta de execução, o protótipo considera slippage e impacto de mercado; na governança, reúne hard limits, Early Warning System, stress tests, Monte Carlo e uma síntese de risco assistida por IA generativa.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68A3A"/>
          <w:left w:val="single" w:sz="6" w:space="0" w:color="B68A3A"/>
          <w:bottom w:val="single" w:sz="6" w:space="0" w:color="B68A3A"/>
          <w:right w:val="single" w:sz="6" w:space="0" w:color="B68A3A"/>
          <w:insideH w:val="single" w:sz="6" w:space="0" w:color="B68A3A"/>
          <w:insideV w:val="single" w:sz="6" w:space="0" w:color="B68A3A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F7F1E6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B68A3A"/>
                <w:sz w:val="18"/>
              </w:rPr>
              <w:t xml:space="preserve">Transparência do resultado. </w:t>
            </w:r>
            <w:r>
              <w:rPr>
                <w:rFonts w:ascii="Calibri" w:hAnsi="Calibri"/>
                <w:b w:val="0"/>
                <w:i w:val="0"/>
                <w:color w:val="242C35"/>
                <w:sz w:val="18"/>
              </w:rPr>
              <w:t>O pacote comprova a arquitetura, as regras de risco, a camada de execução e um snapshot determinístico de 12 posições. Ele ainda não contém um backtest histórico completo e reprodutível do motor BL+HRP. Por isso, métricas de demonstração da interface - como Sharpe, retorno anualizado e drawdown - não são tratadas neste relatório como performance efetiva.</w:t>
            </w:r>
          </w:p>
        </w:tc>
      </w:tr>
    </w:tbl>
    <w:p>
      <w:pPr>
        <w:spacing w:after="0"/>
      </w:pP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2. Hipótese de Investimento e Racional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Nossa hipótese central é que sinais heterogêneos carregam informação incremental sobre retorno e risco, mas que a passagem direta de um score para um peso de carteira amplifica ruído. A Harpia cria uma etapa intermediária: o sinal vira convicção com confiança explícita e só então influencia a alocação. O objetivo não é acertar cada ativo isoladamente; é combinar previsões imperfeitas de forma disciplinada.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Black-Litterman organiza as convicções em views probabilísticas, reduzindo o risco de transformar um score ruidoso em uma posição extrema.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HRP funciona como âncora estrutural de diversificação por correlações/clusters, diminuindo a dependência de uma única estimativa de covariância.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O ensemble por regime muda a importância relativa dos modelos em bull market, lateralização, bear market e crise.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Execução e risco ficam separados da tese: mesmo um sinal forte continua sujeito a liquidez, concentração, CVaR, volatilidade, beta e alavancagem.</w:t>
      </w: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3. Processo de Pesquisa e Modelagem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Organizamos a pesquisa de modo modular. Cada camada tem uma função observável e pode ser testada ou substituída sem reescrever o sistema inteiro. Isso ajuda a distinguir o que já está implementado do que ainda é hipótese de modelagem - uma separação importante para não confundir protótipo com estratégia validada.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Componente</w:t>
            </w:r>
          </w:p>
        </w:tc>
        <w:tc>
          <w:tcPr>
            <w:tcW w:type="dxa" w:w="47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Como entra na pesquisa</w:t>
            </w:r>
          </w:p>
        </w:tc>
        <w:tc>
          <w:tcPr>
            <w:tcW w:type="dxa" w:w="13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Estado atual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Dados e armazenamento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Ingestão com contingência local e escrita paralela em SQLite/TimescaleDB; upserts evitam duplicidade entre execuções.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Contrato de scoring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 de 0-100, confiança, contribuição de retorno/risco e explicação por ativo.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ScoreMacro / ScoreNews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Estrutura funcional já existe, mas ainda retorna valores parametrizados enquanto a modelagem data-driven não é concluída.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Versão inicial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ScoreMicro / ScoreCredit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Previstos na arquitetura de quatro scorers.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Pendente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ViewEngine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Interface prevista para transformar scores em views antes da otimização, preservando a separação entre sinal e peso.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Interface definida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Execução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Modelo de impacto e slippage por ordem, com sensibilidade à liquidez e fração do ADV.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92A49"/>
          <w:left w:val="single" w:sz="6" w:space="0" w:color="192A49"/>
          <w:bottom w:val="single" w:sz="6" w:space="0" w:color="192A49"/>
          <w:right w:val="single" w:sz="6" w:space="0" w:color="192A49"/>
          <w:insideH w:val="single" w:sz="6" w:space="0" w:color="192A49"/>
          <w:insideV w:val="single" w:sz="6" w:space="0" w:color="192A49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EF3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192A49"/>
                <w:sz w:val="17"/>
              </w:rPr>
              <w:t xml:space="preserve">Escolha metodológica.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Preferimos declarar uma camada como "em desenvolvimento" a preencher o relatório com números que o código não sustenta. A rastreabilidade do que existe hoje faz parte do método de pesquisa.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4. Arquitetura da Estratégia Quantitativa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arquitetura foi desenhada como uma cadeia de decisões. Dados viram sinais; sinais viram convicções; convicções alimentam a alocação; e a carteira só chega à execução depois de passar por regras de risco. Essa separação evita que um modelo de previsão tenha controle direto sobre o portfólio inteiro.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37960" cy="1342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pia_arquitetura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34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rpiaCaption"/>
        <w:jc w:val="center"/>
      </w:pPr>
      <w:r>
        <w:t>Figura 1 - Fluxo lógico entre geração de sinal, alocação, execução e controle de risco.</w:t>
      </w: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Meta-learning: pesos do ensemble por regime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17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Regime</w:t>
            </w:r>
          </w:p>
        </w:tc>
        <w:tc>
          <w:tcPr>
            <w:tcW w:type="dxa" w:w="12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News / LLM</w:t>
            </w:r>
          </w:p>
        </w:tc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Fundamentalista XGBoost</w:t>
            </w:r>
          </w:p>
        </w:tc>
        <w:tc>
          <w:tcPr>
            <w:tcW w:type="dxa" w:w="11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LSTM</w:t>
            </w:r>
          </w:p>
        </w:tc>
        <w:tc>
          <w:tcPr>
            <w:tcW w:type="dxa" w:w="11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TFT</w:t>
            </w:r>
          </w:p>
        </w:tc>
      </w:tr>
      <w:tr>
        <w:trPr>
          <w:cantSplit/>
        </w:trPr>
        <w:tc>
          <w:tcPr>
            <w:tcW w:type="dxa" w:w="1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Bull / baixa vol</w:t>
            </w:r>
          </w:p>
        </w:tc>
        <w:tc>
          <w:tcPr>
            <w:tcW w:type="dxa" w:w="12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20%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1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Lateral</w:t>
            </w:r>
          </w:p>
        </w:tc>
        <w:tc>
          <w:tcPr>
            <w:tcW w:type="dxa" w:w="12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15%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30%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45%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1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Bear / alta vol</w:t>
            </w:r>
          </w:p>
        </w:tc>
        <w:tc>
          <w:tcPr>
            <w:tcW w:type="dxa" w:w="12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1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Crise</w:t>
            </w:r>
          </w:p>
        </w:tc>
        <w:tc>
          <w:tcPr>
            <w:tcW w:type="dxa" w:w="12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5%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80%</w:t>
            </w:r>
          </w:p>
        </w:tc>
      </w:tr>
    </w:tbl>
    <w:p>
      <w:pPr>
        <w:spacing w:after="0"/>
      </w:pPr>
    </w:p>
    <w:p>
      <w:pPr>
        <w:spacing w:before="0" w:after="80" w:line="257" w:lineRule="auto"/>
      </w:pPr>
      <w:r>
        <w:rPr>
          <w:rFonts w:ascii="Calibri" w:hAnsi="Calibri"/>
          <w:b w:val="0"/>
          <w:i/>
          <w:color w:val="5C6673"/>
          <w:sz w:val="16"/>
        </w:rPr>
        <w:t>No código atual, o regime é recebido como parâmetro externo. Quando a entropia de regime aumenta, o motor desloca peso adicional para o TFT. Não apresentamos um detector Markoviano treinado como se já estivesse concluído.</w:t>
      </w: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Execução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execução utiliza uma formulação de Almgren-Chriss com parâmetros de impacto temporário (eta = 1,2) e permanente (gamma = 0,4), combinada a slippage por spread e fração do ADV. A consequência prática é direta: uma ordem grande em um ativo menos líquido recebe custo maior do que a mesma ordem em um ativo com profundidade superior.</w:t>
      </w: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5. Universo de Ativos e Alocação Atual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 artefato numérico rastreável do pacote é um snapshot de 12 posições gerado pelo pipeline em Python. Os pesos somam 100% de um AUM simulado de R$ 100 milhões. Esse snapshot permite avaliar concentração, diversificação e coerência dos controles de risco; ele não substitui uma série histórica de NAV.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11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Ativo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Classe</w:t>
            </w:r>
          </w:p>
        </w:tc>
        <w:tc>
          <w:tcPr>
            <w:tcW w:type="dxa" w:w="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Peso</w:t>
            </w:r>
          </w:p>
        </w:tc>
        <w:tc>
          <w:tcPr>
            <w:tcW w:type="dxa" w:w="16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Retorno no snapshot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P&amp;L não realizado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PETR4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12,0%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+12,43%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R$ 1.491.228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VALE3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-3,62%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-R$ 362.205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WEGE3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+11,21%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R$ 896.907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ITUB4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+10,83%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R$ 866.242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BBAS3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6,0%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+6,90%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R$ 413.793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IVVB11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ETF global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+8,78%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R$ 877.863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SOJA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6,0%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+12,38%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R$ 742.857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MILHO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+14,44%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R$ 721.925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CAFÉ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+12,19%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R$ 609.375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OURO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Proteção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+8,70%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R$ 870.130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USD_BRL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Hedge cambial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+6,41%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R$ 320.388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CDI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Caixa / RF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15,0%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+2,80%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R$ 420.000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92A49"/>
          <w:left w:val="single" w:sz="6" w:space="0" w:color="192A49"/>
          <w:bottom w:val="single" w:sz="6" w:space="0" w:color="192A49"/>
          <w:right w:val="single" w:sz="6" w:space="0" w:color="192A49"/>
          <w:insideH w:val="single" w:sz="6" w:space="0" w:color="192A49"/>
          <w:insideV w:val="single" w:sz="6" w:space="0" w:color="192A49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EF3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192A49"/>
                <w:sz w:val="17"/>
              </w:rPr>
              <w:t xml:space="preserve">Leitura do book.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44% do AUM está em ações B3, 41% em ativos de diversificação/hedge (ETF global, commodities, ouro e câmbio) e 15% em CDI. O maior peso individual é 15%, abaixo do limite institucional de 30% por ativo.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6. Backtest e Protocolo de Validação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Este é o ponto em que fazemos a distinção mais importante do relatório: uma arquitetura pode ser coerente sem ainda estar estatisticamente demonstrada. No pacote atual existem motores de execução, risco, stress e simulação, mas não há uma execução histórica completa do BL+HRP sobre dados reais que gere uma série diária de NAV. Assim, não usamos seeds ou fallbacks da interface como resultado de backtest.</w:t>
      </w: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Estrutura do backtest histórico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Universo e dados de preço definidos com timestamps consistentes antes de cada janela de teste.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Formação de sinal e regras de rebalanceamento congeladas por janela, sem acesso a informação futura (look-ahead).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Separação temporal entre calibração e avaliação, com validação out-of-sample / walk-forward.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Custos aplicados por ordem: spread/slippage e impacto de mercado em função da liquidez e da fração do ADV.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Benchmark primário de 100% CDI e referência secundária de Ibovespa/BOVA11.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Log de parâmetros, sinais, pesos, custos e NAV de cada execução para permitir reprodução e auditoria.</w:t>
      </w: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Validação complementar disponível no protótipo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Enquanto o backtest integrado não é produzido, os motores existentes são usados como testes de coerência. Os cenários abaixo são parametrizados no código e cobrem todas as 12 posições do snapshot; portanto, medem sensibilidade do book, não histórico de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24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Cenário parametrizado</w:t>
            </w:r>
          </w:p>
        </w:tc>
        <w:tc>
          <w:tcPr>
            <w:tcW w:type="dxa" w:w="13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Impacto no AUM</w:t>
            </w:r>
          </w:p>
        </w:tc>
        <w:tc>
          <w:tcPr>
            <w:tcW w:type="dxa" w:w="40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Leitura</w:t>
            </w:r>
          </w:p>
        </w:tc>
      </w:tr>
      <w:tr>
        <w:trPr>
          <w:cantSplit/>
        </w:trPr>
        <w:tc>
          <w:tcPr>
            <w:tcW w:type="dxa" w:w="24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Super El Niño / estresse climático</w:t>
            </w:r>
          </w:p>
        </w:tc>
        <w:tc>
          <w:tcPr>
            <w:tcW w:type="dxa" w:w="13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+4,41%</w:t>
            </w:r>
          </w:p>
        </w:tc>
        <w:tc>
          <w:tcPr>
            <w:tcW w:type="dxa" w:w="40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Alta de grãos, café e USD compensa perdas no bloco doméstico.</w:t>
            </w:r>
          </w:p>
        </w:tc>
      </w:tr>
      <w:tr>
        <w:trPr>
          <w:cantSplit/>
        </w:trPr>
        <w:tc>
          <w:tcPr>
            <w:tcW w:type="dxa" w:w="24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Escalada geopolítica / choque logístico</w:t>
            </w:r>
          </w:p>
        </w:tc>
        <w:tc>
          <w:tcPr>
            <w:tcW w:type="dxa" w:w="13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+6,80%</w:t>
            </w:r>
          </w:p>
        </w:tc>
        <w:tc>
          <w:tcPr>
            <w:tcW w:type="dxa" w:w="40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Ouro, USD, petróleo e exposição global dominam o cenário parametrizado.</w:t>
            </w:r>
          </w:p>
        </w:tc>
      </w:tr>
      <w:tr>
        <w:trPr>
          <w:cantSplit/>
        </w:trPr>
        <w:tc>
          <w:tcPr>
            <w:tcW w:type="dxa" w:w="24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Estagflação global</w:t>
            </w:r>
          </w:p>
        </w:tc>
        <w:tc>
          <w:tcPr>
            <w:tcW w:type="dxa" w:w="13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-4,42%</w:t>
            </w:r>
          </w:p>
        </w:tc>
        <w:tc>
          <w:tcPr>
            <w:tcW w:type="dxa" w:w="40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Queda de ações e risco é parcialmente amortecida por CDI, ouro e USD.</w:t>
            </w:r>
          </w:p>
        </w:tc>
      </w:tr>
    </w:tbl>
    <w:p>
      <w:pPr>
        <w:spacing w:after="0"/>
      </w:pPr>
    </w:p>
    <w:p>
      <w:pPr>
        <w:spacing w:before="0" w:after="80" w:line="257" w:lineRule="auto"/>
      </w:pPr>
      <w:r>
        <w:rPr>
          <w:rFonts w:ascii="Calibri" w:hAnsi="Calibri"/>
          <w:b w:val="0"/>
          <w:i/>
          <w:color w:val="5C6673"/>
          <w:sz w:val="16"/>
        </w:rPr>
        <w:t>Os impactos acima foram recalculados a partir dos pesos reais do CSV e dos choques definidos no protótipo, em vez de usar o campo de P&amp;L pré-gravado no mockup.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simulação de Monte Carlo usa GBM com 500 trajetórias e horizonte de 30 pregões. O motor agrega drift e volatilidade pelos pesos e aplica um fator fixo de 0,85 como proxy de diversificação. É um bom teste de cauda para o protótipo, mas a versão final deve substituir esse fator por uma matriz de covariância estimada empiricamente entre os ativos.</w:t>
      </w: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7. Análise dos Resultados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 xml:space="preserve">No snapshot de 12/08/2026, o P&amp;L não realizado agregado é de </w:t>
      </w:r>
      <w:r>
        <w:rPr>
          <w:rFonts w:ascii="Calibri" w:hAnsi="Calibri"/>
          <w:b/>
          <w:i w:val="0"/>
          <w:color w:val="192A49"/>
          <w:sz w:val="19"/>
        </w:rPr>
        <w:t>R$ 7.868.503,80 (+7,87% sobre o AUM simulado)</w:t>
      </w:r>
      <w:r>
        <w:rPr>
          <w:rFonts w:ascii="Calibri" w:hAnsi="Calibri"/>
          <w:b w:val="0"/>
          <w:i w:val="0"/>
          <w:color w:val="242C35"/>
          <w:sz w:val="19"/>
        </w:rPr>
        <w:t>. PETR4 é a maior contribuição positiva (+R$ 1,49 milhão) e VALE3 a única posição negativa (-R$ 362 mil). O ponto mais relevante, porém, é a distribuição do risco: o resultado não está concentrado em uma única classe, há 15% em caixa/CDI e existe um bloco material de diversificação em commodities, ouro, câmbio e exposição global.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Concentração: maior posição de 15%, abaixo do teto de 30% por ativo.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Diversificação: 44% em ações B3, 41% em hedges/diversificadores e 15% em CDI.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Stress integral: entre os cenários de cobertura total avaliados, estagflação é o principal choque adverso (-4,42% do AUM).</w:t>
      </w:r>
    </w:p>
    <w:p>
      <w:pPr>
        <w:pStyle w:val="ListBullet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Integridade: retorno anualizado, Sharpe, Sortino, Calmar e máximo drawdown não são reportados sem uma série temporal validada de NAV.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68A3A"/>
          <w:left w:val="single" w:sz="6" w:space="0" w:color="B68A3A"/>
          <w:bottom w:val="single" w:sz="6" w:space="0" w:color="B68A3A"/>
          <w:right w:val="single" w:sz="6" w:space="0" w:color="B68A3A"/>
          <w:insideH w:val="single" w:sz="6" w:space="0" w:color="B68A3A"/>
          <w:insideV w:val="single" w:sz="6" w:space="0" w:color="B68A3A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F7F1E6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B68A3A"/>
                <w:sz w:val="17"/>
              </w:rPr>
              <w:t xml:space="preserve">Interpretação.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O snapshot é coerente com a tese de diversificação e com os limites de concentração, mas não prova persistência de alpha. Essa diferença orienta o próximo ciclo de testes e evita transformar uma fotografia favorável em conclusão estatística.</w:t>
            </w:r>
          </w:p>
        </w:tc>
      </w:tr>
    </w:tbl>
    <w:p>
      <w:pPr>
        <w:spacing w:after="0"/>
      </w:pP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8. Risco e Governança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governança foi construída para limitar a carteira mesmo quando o sinal é otimista. Os hard limits são determinísticos; se houver violação de concentração, o motor de remediação recorta pesos acima do teto e redistribui o excedente até voltar a 100%.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Limite institucional</w:t>
            </w:r>
          </w:p>
        </w:tc>
        <w:tc>
          <w:tcPr>
            <w:tcW w:type="dxa" w:w="22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Peso máximo por ativo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CVaR 95% máximo</w:t>
            </w:r>
          </w:p>
        </w:tc>
        <w:tc>
          <w:tcPr>
            <w:tcW w:type="dxa" w:w="2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3,5%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Volatilidade anualizada máxima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14%</w:t>
            </w:r>
          </w:p>
        </w:tc>
      </w:tr>
      <w:tr>
        <w:trPr>
          <w:cantSplit/>
        </w:trPr>
        <w:tc>
          <w:tcPr>
            <w:tcW w:type="dxa" w:w="5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Beta máximo vs. mercado</w:t>
            </w:r>
          </w:p>
        </w:tc>
        <w:tc>
          <w:tcPr>
            <w:tcW w:type="dxa" w:w="2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0,70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Alavancagem máxima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1,0x (sem alavancagem)</w:t>
            </w:r>
          </w:p>
        </w:tc>
      </w:tr>
    </w:tbl>
    <w:p>
      <w:pPr>
        <w:spacing w:after="0"/>
      </w:pP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Early Warning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Atenção / Crítico</w:t>
            </w:r>
          </w:p>
        </w:tc>
        <w:tc>
          <w:tcPr>
            <w:tcW w:type="dxa" w:w="34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 que sinaliza</w:t>
            </w:r>
          </w:p>
        </w:tc>
      </w:tr>
      <w:tr>
        <w:trPr>
          <w:cantSplit/>
        </w:trPr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Correlação cruzada média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0,45 / &gt; 0,60</w:t>
            </w:r>
          </w:p>
        </w:tc>
        <w:tc>
          <w:tcPr>
            <w:tcW w:type="dxa" w:w="34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Perda de diversificação do HRP</w:t>
            </w:r>
          </w:p>
        </w:tc>
      </w:tr>
      <w:tr>
        <w:trPr>
          <w:cantSplit/>
        </w:trPr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Vol realizada / esperada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1,15x / &gt; 1,35x</w:t>
            </w:r>
          </w:p>
        </w:tc>
        <w:tc>
          <w:tcPr>
            <w:tcW w:type="dxa" w:w="34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Instabilidade do regime de volatilidade</w:t>
            </w:r>
          </w:p>
        </w:tc>
      </w:tr>
      <w:tr>
        <w:trPr>
          <w:cantSplit/>
        </w:trPr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Aceleração do CVaR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0,08 / &gt; 0,15</w:t>
            </w:r>
          </w:p>
        </w:tc>
        <w:tc>
          <w:tcPr>
            <w:tcW w:type="dxa" w:w="34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Aumento rápido do risco de cauda</w:t>
            </w:r>
          </w:p>
        </w:tc>
      </w:tr>
      <w:tr>
        <w:trPr>
          <w:cantSplit/>
        </w:trPr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Data drift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30 / &gt; 50</w:t>
            </w:r>
          </w:p>
        </w:tc>
        <w:tc>
          <w:tcPr>
            <w:tcW w:type="dxa" w:w="34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Mudança na distribuição dos sinais</w:t>
            </w:r>
          </w:p>
        </w:tc>
      </w:tr>
    </w:tbl>
    <w:p>
      <w:pPr>
        <w:spacing w:after="0"/>
      </w:pPr>
    </w:p>
    <w:p>
      <w:pPr>
        <w:spacing w:before="0" w:after="60" w:line="257" w:lineRule="auto"/>
      </w:pPr>
      <w:r>
        <w:rPr>
          <w:rFonts w:ascii="Calibri" w:hAnsi="Calibri"/>
          <w:b w:val="0"/>
          <w:i/>
          <w:color w:val="5C6673"/>
          <w:sz w:val="16"/>
        </w:rPr>
        <w:t>O score agregado classifica o estado do sistema como NOMINAL (&lt;=25), ATENÇÃO (26-50) ou CRISE (&gt;50). A IA pode ajudar a sintetizar o diagnóstico, mas não altera os limites nem substitui a lógica de compliance.</w:t>
      </w: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9. Uso de IA Generativa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IA generativa aparece em etapas específicas e sempre com uma fronteira clara: ela pode explicar, organizar e sugerir, mas decisões quantitativas e números usados no relatório precisam continuar rastreáveis. Abaixo deixamos explícito onde a IA entrou e o que continuou sob responsabilidade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15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Etapa</w:t>
            </w:r>
          </w:p>
        </w:tc>
        <w:tc>
          <w:tcPr>
            <w:tcW w:type="dxa" w:w="16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Ferramenta</w:t>
            </w:r>
          </w:p>
        </w:tc>
        <w:tc>
          <w:tcPr>
            <w:tcW w:type="dxa" w:w="28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Contribuição da IA</w:t>
            </w:r>
          </w:p>
        </w:tc>
        <w:tc>
          <w:tcPr>
            <w:tcW w:type="dxa" w:w="25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Conteúdo / decisão da equipe</w:t>
            </w:r>
          </w:p>
        </w:tc>
      </w:tr>
      <w:tr>
        <w:trPr>
          <w:cantSplit/>
        </w:trPr>
        <w:tc>
          <w:tcPr>
            <w:tcW w:type="dxa" w:w="1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Síntese de risco no protótipo</w:t>
            </w:r>
          </w:p>
        </w:tc>
        <w:tc>
          <w:tcPr>
            <w:tcW w:type="dxa" w:w="16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Google Gemini 2.5 Flash</w:t>
            </w:r>
          </w:p>
        </w:tc>
        <w:tc>
          <w:tcPr>
            <w:tcW w:type="dxa" w:w="28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Converte métricas de Monte Carlo, compliance e EWS em uma leitura executiva para o comitê.</w:t>
            </w:r>
          </w:p>
        </w:tc>
        <w:tc>
          <w:tcPr>
            <w:tcW w:type="dxa" w:w="2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Hard limits, cálculos, pesos e aprovação final continuam determinísticos / sob validação da equipe.</w:t>
            </w:r>
          </w:p>
        </w:tc>
      </w:tr>
      <w:tr>
        <w:trPr>
          <w:cantSplit/>
        </w:trPr>
        <w:tc>
          <w:tcPr>
            <w:tcW w:type="dxa" w:w="1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Revisão do relatório</w:t>
            </w:r>
          </w:p>
        </w:tc>
        <w:tc>
          <w:tcPr>
            <w:tcW w:type="dxa" w:w="16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ChatGPT</w:t>
            </w:r>
          </w:p>
        </w:tc>
        <w:tc>
          <w:tcPr>
            <w:tcW w:type="dxa" w:w="28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Apoio na estrutura, clareza de linguagem, checagem de aderência ao regulamento e explicitação de premissas/limitações.</w:t>
            </w:r>
          </w:p>
        </w:tc>
        <w:tc>
          <w:tcPr>
            <w:tcW w:type="dxa" w:w="2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Hipótese, código, parâmetros, números e decisão final de submissão permanecem sob responsabilidade da equipe.</w:t>
            </w:r>
          </w:p>
        </w:tc>
      </w:tr>
      <w:tr>
        <w:trPr>
          <w:cantSplit/>
        </w:trPr>
        <w:tc>
          <w:tcPr>
            <w:tcW w:type="dxa" w:w="1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Identidade visual</w:t>
            </w:r>
          </w:p>
        </w:tc>
        <w:tc>
          <w:tcPr>
            <w:tcW w:type="dxa" w:w="16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Gemini - geração de imagem</w:t>
            </w:r>
          </w:p>
        </w:tc>
        <w:tc>
          <w:tcPr>
            <w:tcW w:type="dxa" w:w="28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Apoio na criação do símbolo visual da Harpia usado na apresentação do robô.</w:t>
            </w:r>
          </w:p>
        </w:tc>
        <w:tc>
          <w:tcPr>
            <w:tcW w:type="dxa" w:w="2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 equipe definiu o conceito, selecionou a versão e decidiu sua aplicação no relatório.</w:t>
            </w:r>
          </w:p>
        </w:tc>
      </w:tr>
      <w:tr>
        <w:trPr>
          <w:cantSplit/>
        </w:trPr>
        <w:tc>
          <w:tcPr>
            <w:tcW w:type="dxa" w:w="1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Sentimento de notícias</w:t>
            </w:r>
          </w:p>
        </w:tc>
        <w:tc>
          <w:tcPr>
            <w:tcW w:type="dxa" w:w="16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LLM / roadmap</w:t>
            </w:r>
          </w:p>
        </w:tc>
        <w:tc>
          <w:tcPr>
            <w:tcW w:type="dxa" w:w="28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Previsto como insumo para o ScoreNews e posterior geração de views.</w:t>
            </w:r>
          </w:p>
        </w:tc>
        <w:tc>
          <w:tcPr>
            <w:tcW w:type="dxa" w:w="2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Ainda não é apresentado como sinal de produção validado por backtest.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07A58"/>
          <w:left w:val="single" w:sz="6" w:space="0" w:color="507A58"/>
          <w:bottom w:val="single" w:sz="6" w:space="0" w:color="507A58"/>
          <w:right w:val="single" w:sz="6" w:space="0" w:color="507A58"/>
          <w:insideH w:val="single" w:sz="6" w:space="0" w:color="507A58"/>
          <w:insideV w:val="single" w:sz="6" w:space="0" w:color="507A58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AF4EC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507A58"/>
                <w:sz w:val="17"/>
              </w:rPr>
              <w:t xml:space="preserve">Princípio de governança.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IA pode resumir, explicar e apoiar a pesquisa; regras de risco, dados de performance e pesos finais precisam permanecer reproduzíveis por lógica quantitativa ou determinística.</w:t>
            </w:r>
          </w:p>
        </w:tc>
      </w:tr>
    </w:tbl>
    <w:p>
      <w:pPr>
        <w:spacing w:after="0"/>
      </w:pP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10. Apresentação do Robô - Nome e Identidade</w:t>
      </w:r>
    </w:p>
    <w:p>
      <w:pPr>
        <w:spacing w:before="0" w:after="100" w:line="257" w:lineRule="auto"/>
      </w:pPr>
      <w:r>
        <w:rPr>
          <w:rFonts w:ascii="Calibri" w:hAnsi="Calibri"/>
          <w:b/>
          <w:i w:val="0"/>
          <w:color w:val="192A49"/>
          <w:sz w:val="19"/>
        </w:rPr>
        <w:t>Harpia</w:t>
      </w:r>
      <w:r>
        <w:rPr>
          <w:rFonts w:ascii="Calibri" w:hAnsi="Calibri"/>
          <w:b w:val="0"/>
          <w:i w:val="0"/>
          <w:color w:val="242C35"/>
          <w:sz w:val="19"/>
        </w:rPr>
        <w:t xml:space="preserve"> é o nome do robô. A águia-harpia foi escolhida porque resume duas ideias da estratégia: visão ampla para acompanhar fontes diferentes de informação e precisão para transformar convicção em execução. A identidade visual foi pensada para comunicar robustez e disciplina, sem referência a universidade ou liga. O selo "Harpy Capital - Est. 2026" é apenas parte da identidade do protótipo; não representa uma instituição financeira, fundo registrado ou histórico real de gestão.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dmko32dmko32dmko.jfif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rpiaCaption"/>
        <w:jc w:val="center"/>
      </w:pPr>
      <w:r>
        <w:t>Figura 2 - Identidade visual do robô Harpia.</w:t>
      </w:r>
    </w:p>
    <w:p>
      <w:r>
        <w:br w:type="page"/>
      </w:r>
    </w:p>
    <w:p>
      <w:pPr>
        <w:spacing w:before="160" w:after="90"/>
        <w:keepNext w:val="1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11. Conclusão e Próximos Passos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principal contribuição da Harpia é a forma como organiza o processo de decisão. Em vez de confiar em um único modelo, ela separa geração de sinal, formação de convicção, alocação, execução e risco. O protótipo já torna essa filosofia observável em componentes concretos: contrato de scoring, ensemble por regime, execução sensível à liquidez, hard limits, EWS, stress tests, Monte Carlo e integração de IA para síntese de risco.</w:t>
      </w:r>
    </w:p>
    <w:p>
      <w:pPr>
        <w:spacing w:before="0" w:after="100" w:line="257" w:lineRule="auto"/>
      </w:pPr>
      <w:r>
        <w:rPr>
          <w:rFonts w:ascii="Calibri" w:hAnsi="Calibri"/>
          <w:b/>
          <w:i w:val="0"/>
          <w:color w:val="242C35"/>
          <w:sz w:val="19"/>
        </w:rPr>
        <w:t xml:space="preserve">O próximo salto de qualidade não é adicionar mais complexidade; é fechar o ciclo de evidência. </w:t>
      </w:r>
      <w:r>
        <w:rPr>
          <w:rFonts w:ascii="Calibri" w:hAnsi="Calibri"/>
          <w:b w:val="0"/>
          <w:i w:val="0"/>
          <w:color w:val="242C35"/>
          <w:sz w:val="19"/>
        </w:rPr>
        <w:t>A estratégia deve ser julgada por métricas de performance somente depois que o pipeline estiver conectado a dados históricos, com custos, validação temporal e logs reprodutíveis.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Próximo passo</w:t>
            </w:r>
          </w:p>
        </w:tc>
        <w:tc>
          <w:tcPr>
            <w:tcW w:type="dxa" w:w="4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Executar o backtest histórico integrado</w:t>
            </w:r>
          </w:p>
        </w:tc>
        <w:tc>
          <w:tcPr>
            <w:tcW w:type="dxa" w:w="4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Conectar sinais, views, BL/HRP, execução e custos em uma curva diária de NAV e medir o desempenho out-of-sample.</w:t>
            </w:r>
          </w:p>
        </w:tc>
      </w:tr>
      <w:tr>
        <w:trPr>
          <w:cantSplit/>
        </w:trPr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Completar as camadas de sinal</w:t>
            </w:r>
          </w:p>
        </w:tc>
        <w:tc>
          <w:tcPr>
            <w:tcW w:type="dxa" w:w="4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Evoluir ScoreMicro e ScoreCredit, tornar ScoreMacro/ScoreNews data-driven e treinar um detector de regime.</w:t>
            </w:r>
          </w:p>
        </w:tc>
      </w:tr>
      <w:tr>
        <w:trPr>
          <w:cantSplit/>
        </w:trPr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Refinar o risco estatístico</w:t>
            </w:r>
          </w:p>
        </w:tc>
        <w:tc>
          <w:tcPr>
            <w:tcW w:type="dxa" w:w="4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Substituir o fator fixo de correlação do Monte Carlo por covariância empírica e recalibrar limites por janela.</w:t>
            </w:r>
          </w:p>
        </w:tc>
      </w:tr>
      <w:tr>
        <w:trPr>
          <w:cantSplit/>
        </w:trPr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4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Preservar rastreabilidade</w:t>
            </w:r>
          </w:p>
        </w:tc>
        <w:tc>
          <w:tcPr>
            <w:tcW w:type="dxa" w:w="4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Versionar dados, parâmetros e resultados; manter stress de cobertura integral e separar de forma explícita mockup de evidência quantitativa.</w:t>
            </w:r>
          </w:p>
        </w:tc>
      </w:tr>
    </w:tbl>
    <w:p>
      <w:pPr>
        <w:spacing w:after="0"/>
      </w:pP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Nota de integridade dos dados</w:t>
      </w:r>
    </w:p>
    <w:p>
      <w:pPr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Os números deste relatório vêm do snapshot determinístico e de cálculos diretamente derivados de parâmetros rastreáveis no protótipo. Dados institucionais fictícios e métricas de performance inseridas apenas para demonstração de interface foram excluídos. Essa escolha reduz o número de métricas exibidas, mas aumenta a qualidade da evidência apresentada.</w:t>
      </w:r>
    </w:p>
    <w:p>
      <w:pPr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Referências conceituais usadas na arquitetura</w:t>
      </w:r>
    </w:p>
    <w:p>
      <w:pPr>
        <w:spacing w:before="0" w:after="100" w:line="257" w:lineRule="auto"/>
      </w:pPr>
      <w:r>
        <w:rPr>
          <w:rFonts w:ascii="Calibri" w:hAnsi="Calibri"/>
          <w:b w:val="0"/>
          <w:i/>
          <w:color w:val="5C6673"/>
          <w:sz w:val="16"/>
        </w:rPr>
        <w:t>Black-Litterman (He &amp; Litterman, 1999) e Hierarchical Risk Parity - HRP (López de Prado), conforme a documentação técnica já adotada no projeto.</w:t>
      </w:r>
    </w:p>
    <w:p>
      <w:pPr>
        <w:spacing w:before="200" w:after="0"/>
        <w:jc w:val="center"/>
      </w:pPr>
      <w:r>
        <w:rPr>
          <w:rFonts w:ascii="Calibri" w:hAnsi="Calibri"/>
          <w:b/>
          <w:color w:val="B68A3A"/>
          <w:sz w:val="16"/>
        </w:rPr>
        <w:t>HARPIA  |  convicção com disciplina, alocação com diversificação, risco com rastreabilidade</w:t>
      </w:r>
    </w:p>
    <w:sectPr>
      <w:headerReference w:type="default" r:id="rId9"/>
      <w:footerReference w:type="default" r:id="rId10"/>
      <w:pgSz w:w="12240" w:h="15840"/>
      <w:pgMar w:top="720" w:right="907" w:bottom="720" w:left="907" w:header="302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48"/>
      <w:gridCol w:w="5148"/>
    </w:tblGrid>
    <w:tr>
      <w:tc>
        <w:tcPr>
          <w:tcW w:type="dxa" w:w="5148"/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5C6673"/>
              <w:sz w:val="14"/>
            </w:rPr>
            <w:t>Relatório técnico | avaliação anônima</w:t>
          </w:r>
        </w:p>
      </w:tc>
      <w:tc>
        <w:tcPr>
          <w:tcW w:type="dxa" w:w="5148"/>
        </w:tcPr>
        <w:p>
          <w:pPr>
            <w:spacing w:after="0"/>
            <w:jc w:val="right"/>
          </w:pPr>
          <w:r>
            <w:rPr>
              <w:rFonts w:ascii="Calibri" w:hAnsi="Calibri"/>
              <w:color w:val="5C6673"/>
              <w:sz w:val="15"/>
            </w:rPr>
            <w:t xml:space="preserve">p.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192A49"/>
        <w:sz w:val="15"/>
      </w:rPr>
      <w:t>DESAFIO QUANT AI 2026  |  HARPIA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rpiaCaption">
    <w:name w:val="Harpia Caption"/>
    <w:pPr>
      <w:spacing w:before="20" w:after="80"/>
    </w:pPr>
    <w:rPr>
      <w:rFonts w:ascii="Calibri" w:hAnsi="Calibri"/>
      <w:i/>
      <w:color w:val="5C66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Harpia - Relatório Final - Desafio Quant AI 2026</dc:title>
  <dc:subject>Estratégia quantitativa multimercado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