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213"/>
        <w:gridCol w:w="5213"/>
      </w:tblGrid>
      <w:tr>
        <w:trPr>
          <w:cantSplit/>
        </w:trPr>
        <w:tc>
          <w:tcPr>
            <w:tcW w:type="dxa" w:w="132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749808" cy="74980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mini_Generated_Image_dmko32dmko32dmko.jfif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08" cy="7498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57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92A49"/>
                <w:sz w:val="32"/>
              </w:rPr>
              <w:t>DESAFIO QUANT AI 2026 - RELATÓRIO FINAL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B68A3A"/>
                <w:sz w:val="22"/>
              </w:rPr>
              <w:t>Harpia - Estratégia Quantitativa Multimercado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/>
                <w:color w:val="5C6673"/>
                <w:sz w:val="16"/>
              </w:rPr>
              <w:t>Black-Litterman + HRP | ensemble sensível a regime | execução e governança de risco</w:t>
            </w:r>
          </w:p>
        </w:tc>
      </w:tr>
    </w:tbl>
    <w:p>
      <w:pPr>
        <w:spacing w:before="0" w:after="0" w:line="192" w:lineRule="auto"/>
        <w:pageBreakBefore w:val="0"/>
        <w:pBdr>
          <w:bottom w:val="single" w:sz="16" w:space="1" w:color="192A49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2D6DC"/>
          <w:left w:val="single" w:sz="4" w:space="0" w:color="D2D6DC"/>
          <w:bottom w:val="single" w:sz="4" w:space="0" w:color="D2D6DC"/>
          <w:right w:val="single" w:sz="4" w:space="0" w:color="D2D6DC"/>
          <w:insideH w:val="single" w:sz="4" w:space="0" w:color="D2D6DC"/>
          <w:insideV w:val="single" w:sz="4" w:space="0" w:color="D2D6DC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738"/>
            <w:tcMar>
              <w:top w:w="48" w:type="dxa"/>
              <w:start w:w="55" w:type="dxa"/>
              <w:bottom w:w="48" w:type="dxa"/>
              <w:end w:w="55" w:type="dxa"/>
            </w:tcMar>
            <w:shd w:fill="F7F1E6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A49"/>
                <w:sz w:val="15"/>
              </w:rPr>
              <w:t>Nome do robô</w:t>
            </w:r>
          </w:p>
        </w:tc>
        <w:tc>
          <w:tcPr>
            <w:tcW w:type="dxa" w:w="1738"/>
            <w:tcMar>
              <w:top w:w="48" w:type="dxa"/>
              <w:start w:w="55" w:type="dxa"/>
              <w:bottom w:w="48" w:type="dxa"/>
              <w:end w:w="5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Harpia</w:t>
            </w:r>
          </w:p>
        </w:tc>
        <w:tc>
          <w:tcPr>
            <w:tcW w:type="dxa" w:w="1738"/>
            <w:tcMar>
              <w:top w:w="48" w:type="dxa"/>
              <w:start w:w="55" w:type="dxa"/>
              <w:bottom w:w="48" w:type="dxa"/>
              <w:end w:w="55" w:type="dxa"/>
            </w:tcMar>
            <w:shd w:fill="F7F1E6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A49"/>
                <w:sz w:val="15"/>
              </w:rPr>
              <w:t>Tipo</w:t>
            </w:r>
          </w:p>
        </w:tc>
        <w:tc>
          <w:tcPr>
            <w:tcW w:type="dxa" w:w="1738"/>
            <w:tcMar>
              <w:top w:w="48" w:type="dxa"/>
              <w:start w:w="55" w:type="dxa"/>
              <w:bottom w:w="48" w:type="dxa"/>
              <w:end w:w="5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Multimercado quantitativo</w:t>
            </w:r>
          </w:p>
        </w:tc>
        <w:tc>
          <w:tcPr>
            <w:tcW w:type="dxa" w:w="1738"/>
            <w:tcMar>
              <w:top w:w="48" w:type="dxa"/>
              <w:start w:w="55" w:type="dxa"/>
              <w:bottom w:w="48" w:type="dxa"/>
              <w:end w:w="55" w:type="dxa"/>
            </w:tcMar>
            <w:shd w:fill="F7F1E6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A49"/>
                <w:sz w:val="15"/>
              </w:rPr>
              <w:t>Plataforma</w:t>
            </w:r>
          </w:p>
        </w:tc>
        <w:tc>
          <w:tcPr>
            <w:tcW w:type="dxa" w:w="1738"/>
            <w:tcMar>
              <w:top w:w="48" w:type="dxa"/>
              <w:start w:w="55" w:type="dxa"/>
              <w:bottom w:w="48" w:type="dxa"/>
              <w:end w:w="5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Python + TypeScript</w:t>
            </w:r>
          </w:p>
        </w:tc>
      </w:tr>
      <w:tr>
        <w:trPr>
          <w:cantSplit/>
        </w:trPr>
        <w:tc>
          <w:tcPr>
            <w:tcW w:type="dxa" w:w="1738"/>
            <w:tcMar>
              <w:top w:w="48" w:type="dxa"/>
              <w:start w:w="55" w:type="dxa"/>
              <w:bottom w:w="48" w:type="dxa"/>
              <w:end w:w="55" w:type="dxa"/>
            </w:tcMar>
            <w:shd w:fill="F7F1E6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A49"/>
                <w:sz w:val="15"/>
              </w:rPr>
              <w:t>Universo</w:t>
            </w:r>
          </w:p>
        </w:tc>
        <w:tc>
          <w:tcPr>
            <w:tcW w:type="dxa" w:w="1738"/>
            <w:tcMar>
              <w:top w:w="48" w:type="dxa"/>
              <w:start w:w="55" w:type="dxa"/>
              <w:bottom w:w="48" w:type="dxa"/>
              <w:end w:w="5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B3 + ativos globais de hedge</w:t>
            </w:r>
          </w:p>
        </w:tc>
        <w:tc>
          <w:tcPr>
            <w:tcW w:type="dxa" w:w="1738"/>
            <w:tcMar>
              <w:top w:w="48" w:type="dxa"/>
              <w:start w:w="55" w:type="dxa"/>
              <w:bottom w:w="48" w:type="dxa"/>
              <w:end w:w="55" w:type="dxa"/>
            </w:tcMar>
            <w:shd w:fill="F7F1E6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A49"/>
                <w:sz w:val="15"/>
              </w:rPr>
              <w:t>Benchmark</w:t>
            </w:r>
          </w:p>
        </w:tc>
        <w:tc>
          <w:tcPr>
            <w:tcW w:type="dxa" w:w="1738"/>
            <w:tcMar>
              <w:top w:w="48" w:type="dxa"/>
              <w:start w:w="55" w:type="dxa"/>
              <w:bottom w:w="48" w:type="dxa"/>
              <w:end w:w="5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CDI | Ibovespa (ref.)</w:t>
            </w:r>
          </w:p>
        </w:tc>
        <w:tc>
          <w:tcPr>
            <w:tcW w:type="dxa" w:w="1738"/>
            <w:tcMar>
              <w:top w:w="48" w:type="dxa"/>
              <w:start w:w="55" w:type="dxa"/>
              <w:bottom w:w="48" w:type="dxa"/>
              <w:end w:w="55" w:type="dxa"/>
            </w:tcMar>
            <w:shd w:fill="F7F1E6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92A49"/>
                <w:sz w:val="15"/>
              </w:rPr>
              <w:t>Snapshot</w:t>
            </w:r>
          </w:p>
        </w:tc>
        <w:tc>
          <w:tcPr>
            <w:tcW w:type="dxa" w:w="1738"/>
            <w:tcMar>
              <w:top w:w="48" w:type="dxa"/>
              <w:start w:w="55" w:type="dxa"/>
              <w:bottom w:w="48" w:type="dxa"/>
              <w:end w:w="5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12/08/2026 | AUM simulado R$ 100 mi</w:t>
            </w:r>
          </w:p>
        </w:tc>
      </w:tr>
    </w:tbl>
    <w:p>
      <w:pPr>
        <w:pageBreakBefore w:val="0"/>
        <w:spacing w:after="0" w:before="0" w:line="192" w:lineRule="auto"/>
      </w:pPr>
    </w:p>
    <w:p>
      <w:pPr>
        <w:spacing w:before="160" w:after="90"/>
        <w:keepNext w:val="1"/>
        <w:pageBreakBefore w:val="0"/>
        <w:pBdr>
          <w:bottom w:val="single" w:sz="8" w:space="3" w:color="B68A3A"/>
        </w:pBdr>
      </w:pPr>
      <w:r>
        <w:rPr>
          <w:rFonts w:ascii="Calibri" w:hAnsi="Calibri"/>
          <w:b/>
          <w:color w:val="192A49"/>
          <w:sz w:val="24"/>
        </w:rPr>
        <w:t>1. Resumo Executivo</w:t>
      </w:r>
    </w:p>
    <w:p>
      <w:pPr>
        <w:pageBreakBefore w:val="0"/>
        <w:spacing w:before="0" w:after="100" w:line="257" w:lineRule="auto"/>
      </w:pPr>
      <w:r>
        <w:rPr>
          <w:rFonts w:ascii="Calibri" w:hAnsi="Calibri"/>
          <w:b/>
          <w:i w:val="0"/>
          <w:color w:val="242C35"/>
          <w:sz w:val="19"/>
        </w:rPr>
        <w:t xml:space="preserve">A Harpia nasceu de uma pergunta simples: </w:t>
      </w:r>
      <w:r>
        <w:rPr>
          <w:rFonts w:ascii="Calibri" w:hAnsi="Calibri"/>
          <w:b w:val="0"/>
          <w:i w:val="0"/>
          <w:color w:val="242C35"/>
          <w:sz w:val="19"/>
        </w:rPr>
        <w:t>como combinar sinais diferentes - e inevitavelmente ruidosos - sem transformar cada previsão em uma aposta excessiva? Em vez de ligar um score diretamente ao peso da carteira, separamos o processo em etapas: formar convicções, traduzir essas convicções em alocação, executar respeitando liquidez e, por fim, submeter a carteira a limites de risco que independem do otimismo do modelo.</w:t>
      </w:r>
    </w:p>
    <w:p>
      <w:pPr>
        <w:pageBreakBefore w:val="0"/>
        <w:spacing w:before="0" w:after="100" w:line="257" w:lineRule="auto"/>
      </w:pPr>
      <w:r>
        <w:rPr>
          <w:rFonts w:ascii="Calibri" w:hAnsi="Calibri"/>
          <w:b w:val="0"/>
          <w:i w:val="0"/>
          <w:color w:val="242C35"/>
          <w:sz w:val="19"/>
        </w:rPr>
        <w:t>O desenho combina sinais macro, de mercado e notícias/LLM com uma camada de views probabilísticas para Black-Litterman, uma âncora de diversificação por HRP e um ensemble de modelos cujo peso varia conforme o regime. Na ponta de execução, o protótipo considera slippage e impacto de mercado; na governança, reúne hard limits, Early Warning System, stress tests, Monte Carlo e uma síntese de risco assistida por IA generativa.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68A3A"/>
          <w:left w:val="single" w:sz="6" w:space="0" w:color="B68A3A"/>
          <w:bottom w:val="single" w:sz="6" w:space="0" w:color="B68A3A"/>
          <w:right w:val="single" w:sz="6" w:space="0" w:color="B68A3A"/>
          <w:insideH w:val="single" w:sz="6" w:space="0" w:color="B68A3A"/>
          <w:insideV w:val="single" w:sz="6" w:space="0" w:color="B68A3A"/>
        </w:tblBorders>
      </w:tblPr>
      <w:tblGrid>
        <w:gridCol w:w="10426"/>
      </w:tblGrid>
      <w:tr>
        <w:trPr>
          <w:cantSplit/>
        </w:trPr>
        <w:tc>
          <w:tcPr>
            <w:tcW w:type="dxa" w:w="10426"/>
            <w:shd w:fill="F7F1E6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b/>
                <w:i w:val="0"/>
                <w:color w:val="B68A3A"/>
                <w:sz w:val="18"/>
              </w:rPr>
              <w:t xml:space="preserve">Transparência do resultado. </w:t>
            </w:r>
            <w:r>
              <w:rPr>
                <w:rFonts w:ascii="Calibri" w:hAnsi="Calibri"/>
                <w:b w:val="0"/>
                <w:i w:val="0"/>
                <w:color w:val="242C35"/>
                <w:sz w:val="18"/>
              </w:rPr>
              <w:t>O pacote comprova a arquitetura, as regras de risco, a camada de execução e um snapshot determinístico de 12 posições. Ele ainda não contém um backtest histórico completo e reprodutível do motor BL+HRP. Por isso, métricas de demonstração da interface - como Sharpe, retorno anualizado e drawdown - não são tratadas neste relatório como performance efetiva.</w:t>
            </w:r>
          </w:p>
        </w:tc>
      </w:tr>
    </w:tbl>
    <w:p>
      <w:pPr>
        <w:pageBreakBefore w:val="0"/>
        <w:spacing w:after="0" w:before="0" w:line="192" w:lineRule="auto"/>
      </w:pPr>
    </w:p>
    <w:p>
      <w:pPr>
        <w:spacing w:before="160" w:after="90"/>
        <w:keepNext w:val="1"/>
        <w:pageBreakBefore w:val="0"/>
        <w:pBdr>
          <w:bottom w:val="single" w:sz="8" w:space="3" w:color="B68A3A"/>
        </w:pBdr>
      </w:pPr>
      <w:r>
        <w:rPr>
          <w:rFonts w:ascii="Calibri" w:hAnsi="Calibri"/>
          <w:b/>
          <w:color w:val="192A49"/>
          <w:sz w:val="24"/>
        </w:rPr>
        <w:t>2. Hipótese de Investimento e Racional</w:t>
      </w:r>
    </w:p>
    <w:p>
      <w:pPr>
        <w:pageBreakBefore w:val="0"/>
        <w:spacing w:before="0" w:after="100" w:line="257" w:lineRule="auto"/>
      </w:pPr>
      <w:r>
        <w:rPr>
          <w:rFonts w:ascii="Calibri" w:hAnsi="Calibri"/>
          <w:b w:val="0"/>
          <w:i w:val="0"/>
          <w:color w:val="242C35"/>
          <w:sz w:val="19"/>
        </w:rPr>
        <w:t>Nossa hipótese central é que sinais heterogêneos carregam informação incremental sobre retorno e risco, mas que a passagem direta de um score para um peso de carteira amplifica ruído. A Harpia cria uma etapa intermediária: o sinal vira convicção com confiança explícita e só então influencia a alocação. O objetivo não é acertar cada ativo isoladamente; é combinar previsões imperfeitas de forma disciplinada.</w:t>
      </w:r>
    </w:p>
    <w:p>
      <w:pPr>
        <w:pStyle w:val="ListBullet"/>
        <w:pageBreakBefore w:val="0"/>
        <w:spacing w:after="60" w:line="250" w:lineRule="auto"/>
        <w:ind w:left="259" w:hanging="202"/>
      </w:pPr>
      <w:r>
        <w:rPr>
          <w:rFonts w:ascii="Calibri" w:hAnsi="Calibri"/>
          <w:b w:val="0"/>
          <w:i w:val="0"/>
          <w:color w:val="242C35"/>
          <w:sz w:val="18"/>
        </w:rPr>
        <w:t>Black-Litterman organiza as convicções em views probabilísticas, reduzindo o risco de transformar um score ruidoso em uma posição extrema.</w:t>
      </w:r>
    </w:p>
    <w:p>
      <w:pPr>
        <w:pStyle w:val="ListBullet"/>
        <w:pageBreakBefore w:val="0"/>
        <w:spacing w:after="60" w:line="250" w:lineRule="auto"/>
        <w:ind w:left="259" w:hanging="202"/>
      </w:pPr>
      <w:r>
        <w:rPr>
          <w:rFonts w:ascii="Calibri" w:hAnsi="Calibri"/>
          <w:b w:val="0"/>
          <w:i w:val="0"/>
          <w:color w:val="242C35"/>
          <w:sz w:val="18"/>
        </w:rPr>
        <w:t>HRP funciona como âncora estrutural de diversificação por correlações/clusters, diminuindo a dependência de uma única estimativa de covariância.</w:t>
      </w:r>
    </w:p>
    <w:p>
      <w:pPr>
        <w:pStyle w:val="ListBullet"/>
        <w:pageBreakBefore w:val="0"/>
        <w:spacing w:after="60" w:line="250" w:lineRule="auto"/>
        <w:ind w:left="259" w:hanging="202"/>
      </w:pPr>
      <w:r>
        <w:rPr>
          <w:rFonts w:ascii="Calibri" w:hAnsi="Calibri"/>
          <w:b w:val="0"/>
          <w:i w:val="0"/>
          <w:color w:val="242C35"/>
          <w:sz w:val="18"/>
        </w:rPr>
        <w:t>O ensemble por regime muda a importância relativa dos modelos em bull market, lateralização, bear market e crise.</w:t>
      </w:r>
    </w:p>
    <w:p>
      <w:pPr>
        <w:pStyle w:val="ListBullet"/>
        <w:pageBreakBefore w:val="0"/>
        <w:spacing w:after="60" w:line="250" w:lineRule="auto"/>
        <w:ind w:left="259" w:hanging="202"/>
      </w:pPr>
      <w:r>
        <w:rPr>
          <w:rFonts w:ascii="Calibri" w:hAnsi="Calibri"/>
          <w:b w:val="0"/>
          <w:i w:val="0"/>
          <w:color w:val="242C35"/>
          <w:sz w:val="18"/>
        </w:rPr>
        <w:t>Execução e risco ficam separados da tese: mesmo um sinal forte continua sujeito a liquidez, concentração, CVaR, volatilidade, beta e alavancagem.</w:t>
      </w:r>
    </w:p>
    <w:p>
      <w:pPr>
        <w:pageBreakBefore w:val="0"/>
        <w:spacing w:before="0" w:after="0" w:line="192" w:lineRule="auto"/>
      </w:pPr>
      <w:r/>
    </w:p>
    <w:p>
      <w:pPr>
        <w:spacing w:before="160" w:after="90"/>
        <w:keepNext w:val="1"/>
        <w:pageBreakBefore w:val="0"/>
        <w:pBdr>
          <w:bottom w:val="single" w:sz="8" w:space="3" w:color="B68A3A"/>
        </w:pBdr>
      </w:pPr>
      <w:r>
        <w:rPr>
          <w:rFonts w:ascii="Calibri" w:hAnsi="Calibri"/>
          <w:b/>
          <w:color w:val="192A49"/>
          <w:sz w:val="24"/>
        </w:rPr>
        <w:t>3. Processo de Pesquisa e Modelagem</w:t>
      </w:r>
    </w:p>
    <w:p>
      <w:pPr>
        <w:pageBreakBefore w:val="0"/>
        <w:spacing w:before="0" w:after="100" w:line="257" w:lineRule="auto"/>
      </w:pPr>
      <w:r>
        <w:rPr>
          <w:rFonts w:ascii="Calibri" w:hAnsi="Calibri"/>
          <w:b w:val="0"/>
          <w:i w:val="0"/>
          <w:color w:val="242C35"/>
          <w:sz w:val="19"/>
        </w:rPr>
        <w:t>Organizamos a pesquisa de modo modular. Cada camada tem uma função observável e pode ser testada ou substituída sem reescrever o sistema inteiro. Isso ajuda a distinguir o que já está implementado do que ainda é hipótese de modelagem - uma separação importante para não confundir protótipo com estratégia validada.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EC5CF"/>
          <w:left w:val="single" w:sz="4" w:space="0" w:color="BEC5CF"/>
          <w:bottom w:val="single" w:sz="4" w:space="0" w:color="BEC5CF"/>
          <w:right w:val="single" w:sz="4" w:space="0" w:color="BEC5CF"/>
          <w:insideH w:val="single" w:sz="4" w:space="0" w:color="BEC5CF"/>
          <w:insideV w:val="single" w:sz="4" w:space="0" w:color="BEC5CF"/>
        </w:tblBorders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1900"/>
            <w:shd w:fill="192A49"/>
            <w:tcMar>
              <w:top w:w="62" w:type="dxa"/>
              <w:start w:w="62" w:type="dxa"/>
              <w:bottom w:w="62" w:type="dxa"/>
              <w:end w:w="62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Componente</w:t>
            </w:r>
          </w:p>
        </w:tc>
        <w:tc>
          <w:tcPr>
            <w:tcW w:type="dxa" w:w="4700"/>
            <w:shd w:fill="192A49"/>
            <w:tcMar>
              <w:top w:w="62" w:type="dxa"/>
              <w:start w:w="62" w:type="dxa"/>
              <w:bottom w:w="62" w:type="dxa"/>
              <w:end w:w="62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Como entra na pesquisa</w:t>
            </w:r>
          </w:p>
        </w:tc>
        <w:tc>
          <w:tcPr>
            <w:tcW w:type="dxa" w:w="1300"/>
            <w:shd w:fill="192A49"/>
            <w:tcMar>
              <w:top w:w="62" w:type="dxa"/>
              <w:start w:w="62" w:type="dxa"/>
              <w:bottom w:w="62" w:type="dxa"/>
              <w:end w:w="62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Estado atual</w:t>
            </w:r>
          </w:p>
        </w:tc>
      </w:tr>
      <w:tr>
        <w:trPr>
          <w:cantSplit/>
        </w:trPr>
        <w:tc>
          <w:tcPr>
            <w:tcW w:type="dxa" w:w="19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Dados e armazenamento</w:t>
            </w:r>
          </w:p>
        </w:tc>
        <w:tc>
          <w:tcPr>
            <w:tcW w:type="dxa" w:w="47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Ingestão com contingência local e escrita paralela em SQLite/TimescaleDB; upserts evitam duplicidade entre execuções.</w:t>
            </w:r>
          </w:p>
        </w:tc>
        <w:tc>
          <w:tcPr>
            <w:tcW w:type="dxa" w:w="13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Implementado</w:t>
            </w:r>
          </w:p>
        </w:tc>
      </w:tr>
      <w:tr>
        <w:trPr>
          <w:cantSplit/>
        </w:trPr>
        <w:tc>
          <w:tcPr>
            <w:tcW w:type="dxa" w:w="19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Contrato de scoring</w:t>
            </w:r>
          </w:p>
        </w:tc>
        <w:tc>
          <w:tcPr>
            <w:tcW w:type="dxa" w:w="47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Score de 0-100, confiança, contribuição de retorno/risco e explicação por ativo.</w:t>
            </w:r>
          </w:p>
        </w:tc>
        <w:tc>
          <w:tcPr>
            <w:tcW w:type="dxa" w:w="13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Implementado</w:t>
            </w:r>
          </w:p>
        </w:tc>
      </w:tr>
      <w:tr>
        <w:trPr>
          <w:cantSplit/>
        </w:trPr>
        <w:tc>
          <w:tcPr>
            <w:tcW w:type="dxa" w:w="19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ScoreMacro / ScoreNews</w:t>
            </w:r>
          </w:p>
        </w:tc>
        <w:tc>
          <w:tcPr>
            <w:tcW w:type="dxa" w:w="47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Estrutura funcional já existe, mas ainda retorna valores parametrizados enquanto a modelagem data-driven não é concluída.</w:t>
            </w:r>
          </w:p>
        </w:tc>
        <w:tc>
          <w:tcPr>
            <w:tcW w:type="dxa" w:w="13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Versão inicial</w:t>
            </w:r>
          </w:p>
        </w:tc>
      </w:tr>
      <w:tr>
        <w:trPr>
          <w:cantSplit/>
        </w:trPr>
        <w:tc>
          <w:tcPr>
            <w:tcW w:type="dxa" w:w="19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ScoreMicro / ScoreCredit</w:t>
            </w:r>
          </w:p>
        </w:tc>
        <w:tc>
          <w:tcPr>
            <w:tcW w:type="dxa" w:w="47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Previstos na arquitetura de quatro scorers.</w:t>
            </w:r>
          </w:p>
        </w:tc>
        <w:tc>
          <w:tcPr>
            <w:tcW w:type="dxa" w:w="13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Pendente</w:t>
            </w:r>
          </w:p>
        </w:tc>
      </w:tr>
      <w:tr>
        <w:trPr>
          <w:cantSplit/>
        </w:trPr>
        <w:tc>
          <w:tcPr>
            <w:tcW w:type="dxa" w:w="19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ViewEngine</w:t>
            </w:r>
          </w:p>
        </w:tc>
        <w:tc>
          <w:tcPr>
            <w:tcW w:type="dxa" w:w="47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Interface prevista para transformar scores em views antes da otimização, preservando a separação entre sinal e peso.</w:t>
            </w:r>
          </w:p>
        </w:tc>
        <w:tc>
          <w:tcPr>
            <w:tcW w:type="dxa" w:w="13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Interface definida</w:t>
            </w:r>
          </w:p>
        </w:tc>
      </w:tr>
      <w:tr>
        <w:trPr>
          <w:cantSplit/>
        </w:trPr>
        <w:tc>
          <w:tcPr>
            <w:tcW w:type="dxa" w:w="19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Execução</w:t>
            </w:r>
          </w:p>
        </w:tc>
        <w:tc>
          <w:tcPr>
            <w:tcW w:type="dxa" w:w="47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Modelo de impacto e slippage por ordem, com sensibilidade à liquidez e fração do ADV.</w:t>
            </w:r>
          </w:p>
        </w:tc>
        <w:tc>
          <w:tcPr>
            <w:tcW w:type="dxa" w:w="13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Implementado</w:t>
            </w:r>
          </w:p>
        </w:tc>
      </w:tr>
    </w:tbl>
    <w:p>
      <w:pPr>
        <w:pageBreakBefore w:val="0"/>
        <w:spacing w:after="0" w:before="0" w:line="19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192A49"/>
          <w:left w:val="single" w:sz="6" w:space="0" w:color="192A49"/>
          <w:bottom w:val="single" w:sz="6" w:space="0" w:color="192A49"/>
          <w:right w:val="single" w:sz="6" w:space="0" w:color="192A49"/>
          <w:insideH w:val="single" w:sz="6" w:space="0" w:color="192A49"/>
          <w:insideV w:val="single" w:sz="6" w:space="0" w:color="192A49"/>
        </w:tblBorders>
      </w:tblPr>
      <w:tblGrid>
        <w:gridCol w:w="10426"/>
      </w:tblGrid>
      <w:tr>
        <w:trPr>
          <w:cantSplit/>
        </w:trPr>
        <w:tc>
          <w:tcPr>
            <w:tcW w:type="dxa" w:w="10426"/>
            <w:shd w:fill="EEF3F8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b/>
                <w:i w:val="0"/>
                <w:color w:val="192A49"/>
                <w:sz w:val="17"/>
              </w:rPr>
              <w:t xml:space="preserve">Escolha metodológica. </w:t>
            </w:r>
            <w:r>
              <w:rPr>
                <w:rFonts w:ascii="Calibri" w:hAnsi="Calibri"/>
                <w:b w:val="0"/>
                <w:i w:val="0"/>
                <w:color w:val="242C35"/>
                <w:sz w:val="17"/>
              </w:rPr>
              <w:t>Preferimos declarar uma camada como "em desenvolvimento" a preencher o relatório com números que o código não sustenta. A rastreabilidade do que existe hoje faz parte do método de pesquisa.</w:t>
            </w:r>
          </w:p>
        </w:tc>
      </w:tr>
    </w:tbl>
    <w:p>
      <w:pPr>
        <w:pageBreakBefore w:val="0"/>
        <w:spacing w:after="0" w:before="0" w:line="192" w:lineRule="auto"/>
      </w:pPr>
    </w:p>
    <w:p>
      <w:pPr>
        <w:pageBreakBefore w:val="0"/>
        <w:spacing w:before="0" w:after="0" w:line="192" w:lineRule="auto"/>
      </w:pPr>
      <w:r/>
    </w:p>
    <w:p>
      <w:pPr>
        <w:spacing w:before="160" w:after="90"/>
        <w:keepNext w:val="1"/>
        <w:pageBreakBefore w:val="0"/>
        <w:pBdr>
          <w:bottom w:val="single" w:sz="8" w:space="3" w:color="B68A3A"/>
        </w:pBdr>
      </w:pPr>
      <w:r>
        <w:rPr>
          <w:rFonts w:ascii="Calibri" w:hAnsi="Calibri"/>
          <w:b/>
          <w:color w:val="192A49"/>
          <w:sz w:val="24"/>
        </w:rPr>
        <w:t>4. Arquitetura da Estratégia Quantitativa</w:t>
      </w:r>
    </w:p>
    <w:p>
      <w:pPr>
        <w:pageBreakBefore w:val="0"/>
        <w:spacing w:before="0" w:after="100" w:line="257" w:lineRule="auto"/>
      </w:pPr>
      <w:r>
        <w:rPr>
          <w:rFonts w:ascii="Calibri" w:hAnsi="Calibri"/>
          <w:b w:val="0"/>
          <w:i w:val="0"/>
          <w:color w:val="242C35"/>
          <w:sz w:val="19"/>
        </w:rPr>
        <w:t>A arquitetura foi desenhada como uma cadeia de decisões. Dados viram sinais; sinais viram convicções; convicções alimentam a alocação; e a carteira só chega à execução depois de passar por regras de risco. Essa separação evita que um modelo de previsão tenha controle direto sobre o portfólio inteiro.</w:t>
      </w:r>
    </w:p>
    <w:p>
      <w:pPr>
        <w:pageBreakBefore w:val="0"/>
        <w:spacing w:before="0" w:after="0" w:line="19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537960" cy="13420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pia_arquitetura_v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1342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arpiaCaption"/>
        <w:pageBreakBefore w:val="0"/>
        <w:jc w:val="center"/>
      </w:pPr>
      <w:r>
        <w:t>Figura 1 - Fluxo lógico entre geração de sinal, alocação, execução e controle de risco.</w:t>
      </w:r>
    </w:p>
    <w:p>
      <w:pPr>
        <w:pageBreakBefore w:val="0"/>
        <w:spacing w:before="110" w:after="50"/>
        <w:keepNext w:val="1"/>
      </w:pPr>
      <w:r>
        <w:rPr>
          <w:rFonts w:ascii="Calibri" w:hAnsi="Calibri"/>
          <w:b/>
          <w:color w:val="192A49"/>
          <w:sz w:val="19"/>
        </w:rPr>
        <w:t>Meta-learning: pesos do ensemble por regime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EC5CF"/>
          <w:left w:val="single" w:sz="4" w:space="0" w:color="BEC5CF"/>
          <w:bottom w:val="single" w:sz="4" w:space="0" w:color="BEC5CF"/>
          <w:right w:val="single" w:sz="4" w:space="0" w:color="BEC5CF"/>
          <w:insideH w:val="single" w:sz="4" w:space="0" w:color="BEC5CF"/>
          <w:insideV w:val="single" w:sz="4" w:space="0" w:color="BEC5CF"/>
        </w:tblBorders>
      </w:tblPr>
      <w:tblGrid>
        <w:gridCol w:w="2085"/>
        <w:gridCol w:w="2085"/>
        <w:gridCol w:w="2085"/>
        <w:gridCol w:w="2085"/>
        <w:gridCol w:w="2085"/>
      </w:tblGrid>
      <w:tr>
        <w:trPr>
          <w:tblHeader w:val="true"/>
          <w:cantSplit/>
        </w:trPr>
        <w:tc>
          <w:tcPr>
            <w:tcW w:type="dxa" w:w="1700"/>
            <w:shd w:fill="192A49"/>
            <w:tcMar>
              <w:top w:w="62" w:type="dxa"/>
              <w:start w:w="62" w:type="dxa"/>
              <w:bottom w:w="62" w:type="dxa"/>
              <w:end w:w="62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Regime</w:t>
            </w:r>
          </w:p>
        </w:tc>
        <w:tc>
          <w:tcPr>
            <w:tcW w:type="dxa" w:w="1250"/>
            <w:shd w:fill="192A49"/>
            <w:tcMar>
              <w:top w:w="62" w:type="dxa"/>
              <w:start w:w="62" w:type="dxa"/>
              <w:bottom w:w="62" w:type="dxa"/>
              <w:end w:w="62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News / LLM</w:t>
            </w:r>
          </w:p>
        </w:tc>
        <w:tc>
          <w:tcPr>
            <w:tcW w:type="dxa" w:w="2500"/>
            <w:shd w:fill="192A49"/>
            <w:tcMar>
              <w:top w:w="62" w:type="dxa"/>
              <w:start w:w="62" w:type="dxa"/>
              <w:bottom w:w="62" w:type="dxa"/>
              <w:end w:w="62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Fundamentalista XGBoost</w:t>
            </w:r>
          </w:p>
        </w:tc>
        <w:tc>
          <w:tcPr>
            <w:tcW w:type="dxa" w:w="1100"/>
            <w:shd w:fill="192A49"/>
            <w:tcMar>
              <w:top w:w="62" w:type="dxa"/>
              <w:start w:w="62" w:type="dxa"/>
              <w:bottom w:w="62" w:type="dxa"/>
              <w:end w:w="62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LSTM</w:t>
            </w:r>
          </w:p>
        </w:tc>
        <w:tc>
          <w:tcPr>
            <w:tcW w:type="dxa" w:w="1100"/>
            <w:shd w:fill="192A49"/>
            <w:tcMar>
              <w:top w:w="62" w:type="dxa"/>
              <w:start w:w="62" w:type="dxa"/>
              <w:bottom w:w="62" w:type="dxa"/>
              <w:end w:w="62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TFT</w:t>
            </w:r>
          </w:p>
        </w:tc>
      </w:tr>
      <w:tr>
        <w:trPr>
          <w:cantSplit/>
        </w:trPr>
        <w:tc>
          <w:tcPr>
            <w:tcW w:type="dxa" w:w="17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Bull / baixa vol</w:t>
            </w:r>
          </w:p>
        </w:tc>
        <w:tc>
          <w:tcPr>
            <w:tcW w:type="dxa" w:w="125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20%</w:t>
            </w:r>
          </w:p>
        </w:tc>
        <w:tc>
          <w:tcPr>
            <w:tcW w:type="dxa" w:w="25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50%</w:t>
            </w:r>
          </w:p>
        </w:tc>
        <w:tc>
          <w:tcPr>
            <w:tcW w:type="dxa" w:w="11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20%</w:t>
            </w:r>
          </w:p>
        </w:tc>
        <w:tc>
          <w:tcPr>
            <w:tcW w:type="dxa" w:w="11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10%</w:t>
            </w:r>
          </w:p>
        </w:tc>
      </w:tr>
      <w:tr>
        <w:trPr>
          <w:cantSplit/>
        </w:trPr>
        <w:tc>
          <w:tcPr>
            <w:tcW w:type="dxa" w:w="17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Lateral</w:t>
            </w:r>
          </w:p>
        </w:tc>
        <w:tc>
          <w:tcPr>
            <w:tcW w:type="dxa" w:w="125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15%</w:t>
            </w:r>
          </w:p>
        </w:tc>
        <w:tc>
          <w:tcPr>
            <w:tcW w:type="dxa" w:w="25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30%</w:t>
            </w:r>
          </w:p>
        </w:tc>
        <w:tc>
          <w:tcPr>
            <w:tcW w:type="dxa" w:w="11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45%</w:t>
            </w:r>
          </w:p>
        </w:tc>
        <w:tc>
          <w:tcPr>
            <w:tcW w:type="dxa" w:w="11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10%</w:t>
            </w:r>
          </w:p>
        </w:tc>
      </w:tr>
      <w:tr>
        <w:trPr>
          <w:cantSplit/>
        </w:trPr>
        <w:tc>
          <w:tcPr>
            <w:tcW w:type="dxa" w:w="17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Bear / alta vol</w:t>
            </w:r>
          </w:p>
        </w:tc>
        <w:tc>
          <w:tcPr>
            <w:tcW w:type="dxa" w:w="125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10%</w:t>
            </w:r>
          </w:p>
        </w:tc>
        <w:tc>
          <w:tcPr>
            <w:tcW w:type="dxa" w:w="25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10%</w:t>
            </w:r>
          </w:p>
        </w:tc>
        <w:tc>
          <w:tcPr>
            <w:tcW w:type="dxa" w:w="11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30%</w:t>
            </w:r>
          </w:p>
        </w:tc>
        <w:tc>
          <w:tcPr>
            <w:tcW w:type="dxa" w:w="11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50%</w:t>
            </w:r>
          </w:p>
        </w:tc>
      </w:tr>
      <w:tr>
        <w:trPr>
          <w:cantSplit/>
        </w:trPr>
        <w:tc>
          <w:tcPr>
            <w:tcW w:type="dxa" w:w="17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Crise</w:t>
            </w:r>
          </w:p>
        </w:tc>
        <w:tc>
          <w:tcPr>
            <w:tcW w:type="dxa" w:w="125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5%</w:t>
            </w:r>
          </w:p>
        </w:tc>
        <w:tc>
          <w:tcPr>
            <w:tcW w:type="dxa" w:w="25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5%</w:t>
            </w:r>
          </w:p>
        </w:tc>
        <w:tc>
          <w:tcPr>
            <w:tcW w:type="dxa" w:w="11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10%</w:t>
            </w:r>
          </w:p>
        </w:tc>
        <w:tc>
          <w:tcPr>
            <w:tcW w:type="dxa" w:w="11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80%</w:t>
            </w:r>
          </w:p>
        </w:tc>
      </w:tr>
    </w:tbl>
    <w:p>
      <w:pPr>
        <w:pageBreakBefore w:val="0"/>
        <w:spacing w:after="0" w:before="0" w:line="192" w:lineRule="auto"/>
      </w:pPr>
    </w:p>
    <w:p>
      <w:pPr>
        <w:pageBreakBefore w:val="0"/>
        <w:spacing w:before="0" w:after="80" w:line="257" w:lineRule="auto"/>
      </w:pPr>
      <w:r>
        <w:rPr>
          <w:rFonts w:ascii="Calibri" w:hAnsi="Calibri"/>
          <w:b w:val="0"/>
          <w:i/>
          <w:color w:val="5C6673"/>
          <w:sz w:val="16"/>
        </w:rPr>
        <w:t>No código atual, o regime é recebido como parâmetro externo. Quando a entropia de regime aumenta, o motor desloca peso adicional para o TFT. Não apresentamos um detector Markoviano treinado como se já estivesse concluído.</w:t>
      </w:r>
    </w:p>
    <w:p>
      <w:pPr>
        <w:pageBreakBefore w:val="0"/>
        <w:spacing w:before="110" w:after="50"/>
        <w:keepNext w:val="1"/>
      </w:pPr>
      <w:r>
        <w:rPr>
          <w:rFonts w:ascii="Calibri" w:hAnsi="Calibri"/>
          <w:b/>
          <w:color w:val="192A49"/>
          <w:sz w:val="19"/>
        </w:rPr>
        <w:t>Execução</w:t>
      </w:r>
    </w:p>
    <w:p>
      <w:pPr>
        <w:pageBreakBefore w:val="0"/>
        <w:spacing w:before="0" w:after="100" w:line="257" w:lineRule="auto"/>
      </w:pPr>
      <w:r>
        <w:rPr>
          <w:rFonts w:ascii="Calibri" w:hAnsi="Calibri"/>
          <w:b w:val="0"/>
          <w:i w:val="0"/>
          <w:color w:val="242C35"/>
          <w:sz w:val="18"/>
        </w:rPr>
        <w:t>A execução utiliza uma formulação de Almgren-Chriss com parâmetros de impacto temporário (eta = 1,2) e permanente (gamma = 0,4), combinada a slippage por spread e fração do ADV. A consequência prática é direta: uma ordem grande em um ativo menos líquido recebe custo maior do que a mesma ordem em um ativo com profundidade superior.</w:t>
      </w:r>
    </w:p>
    <w:p>
      <w:pPr>
        <w:pageBreakBefore w:val="0"/>
        <w:spacing w:before="0" w:after="0" w:line="192" w:lineRule="auto"/>
      </w:pPr>
      <w:r/>
    </w:p>
    <w:p>
      <w:pPr>
        <w:spacing w:before="160" w:after="90"/>
        <w:keepNext w:val="1"/>
        <w:pageBreakBefore w:val="0"/>
        <w:pBdr>
          <w:bottom w:val="single" w:sz="8" w:space="3" w:color="B68A3A"/>
        </w:pBdr>
      </w:pPr>
      <w:r>
        <w:rPr>
          <w:rFonts w:ascii="Calibri" w:hAnsi="Calibri"/>
          <w:b/>
          <w:color w:val="192A49"/>
          <w:sz w:val="24"/>
        </w:rPr>
        <w:t>5. Universo de Ativos e Alocação Atual</w:t>
      </w:r>
    </w:p>
    <w:p>
      <w:pPr>
        <w:pageBreakBefore w:val="0"/>
        <w:spacing w:before="0" w:after="100" w:line="257" w:lineRule="auto"/>
      </w:pPr>
      <w:r>
        <w:rPr>
          <w:rFonts w:ascii="Calibri" w:hAnsi="Calibri"/>
          <w:b w:val="0"/>
          <w:i w:val="0"/>
          <w:color w:val="242C35"/>
          <w:sz w:val="19"/>
        </w:rPr>
        <w:t>O artefato numérico rastreável do pacote é um snapshot de 12 posições gerado pelo pipeline em Python. Os pesos somam 100% de um AUM simulado de R$ 100 milhões. Esse snapshot permite avaliar concentração, diversificação e coerência dos controles de risco; ele não substitui uma série histórica de NAV.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EC5CF"/>
          <w:left w:val="single" w:sz="4" w:space="0" w:color="BEC5CF"/>
          <w:bottom w:val="single" w:sz="4" w:space="0" w:color="BEC5CF"/>
          <w:right w:val="single" w:sz="4" w:space="0" w:color="BEC5CF"/>
          <w:insideH w:val="single" w:sz="4" w:space="0" w:color="BEC5CF"/>
          <w:insideV w:val="single" w:sz="4" w:space="0" w:color="BEC5CF"/>
        </w:tblBorders>
      </w:tblPr>
      <w:tblGrid>
        <w:gridCol w:w="2085"/>
        <w:gridCol w:w="2085"/>
        <w:gridCol w:w="2085"/>
        <w:gridCol w:w="2085"/>
        <w:gridCol w:w="2085"/>
      </w:tblGrid>
      <w:tr>
        <w:trPr>
          <w:tblHeader w:val="true"/>
          <w:cantSplit/>
        </w:trPr>
        <w:tc>
          <w:tcPr>
            <w:tcW w:type="dxa" w:w="1150"/>
            <w:shd w:fill="192A49"/>
            <w:tcMar>
              <w:top w:w="62" w:type="dxa"/>
              <w:start w:w="62" w:type="dxa"/>
              <w:bottom w:w="62" w:type="dxa"/>
              <w:end w:w="62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Ativo</w:t>
            </w:r>
          </w:p>
        </w:tc>
        <w:tc>
          <w:tcPr>
            <w:tcW w:type="dxa" w:w="1900"/>
            <w:shd w:fill="192A49"/>
            <w:tcMar>
              <w:top w:w="62" w:type="dxa"/>
              <w:start w:w="62" w:type="dxa"/>
              <w:bottom w:w="62" w:type="dxa"/>
              <w:end w:w="62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Classe</w:t>
            </w:r>
          </w:p>
        </w:tc>
        <w:tc>
          <w:tcPr>
            <w:tcW w:type="dxa" w:w="900"/>
            <w:shd w:fill="192A49"/>
            <w:tcMar>
              <w:top w:w="62" w:type="dxa"/>
              <w:start w:w="62" w:type="dxa"/>
              <w:bottom w:w="62" w:type="dxa"/>
              <w:end w:w="62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Peso</w:t>
            </w:r>
          </w:p>
        </w:tc>
        <w:tc>
          <w:tcPr>
            <w:tcW w:type="dxa" w:w="1650"/>
            <w:shd w:fill="192A49"/>
            <w:tcMar>
              <w:top w:w="62" w:type="dxa"/>
              <w:start w:w="62" w:type="dxa"/>
              <w:bottom w:w="62" w:type="dxa"/>
              <w:end w:w="62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Retorno no snapshot</w:t>
            </w:r>
          </w:p>
        </w:tc>
        <w:tc>
          <w:tcPr>
            <w:tcW w:type="dxa" w:w="1900"/>
            <w:shd w:fill="192A49"/>
            <w:tcMar>
              <w:top w:w="62" w:type="dxa"/>
              <w:start w:w="62" w:type="dxa"/>
              <w:bottom w:w="62" w:type="dxa"/>
              <w:end w:w="62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P&amp;L não realizado</w:t>
            </w:r>
          </w:p>
        </w:tc>
      </w:tr>
      <w:tr>
        <w:trPr>
          <w:cantSplit/>
        </w:trPr>
        <w:tc>
          <w:tcPr>
            <w:tcW w:type="dxa" w:w="115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PETR4</w:t>
            </w:r>
          </w:p>
        </w:tc>
        <w:tc>
          <w:tcPr>
            <w:tcW w:type="dxa" w:w="19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Ações B3</w:t>
            </w:r>
          </w:p>
        </w:tc>
        <w:tc>
          <w:tcPr>
            <w:tcW w:type="dxa" w:w="9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12,0%</w:t>
            </w:r>
          </w:p>
        </w:tc>
        <w:tc>
          <w:tcPr>
            <w:tcW w:type="dxa" w:w="165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+12,43%</w:t>
            </w:r>
          </w:p>
        </w:tc>
        <w:tc>
          <w:tcPr>
            <w:tcW w:type="dxa" w:w="19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R$ 1.491.228</w:t>
            </w:r>
          </w:p>
        </w:tc>
      </w:tr>
      <w:tr>
        <w:trPr>
          <w:cantSplit/>
        </w:trPr>
        <w:tc>
          <w:tcPr>
            <w:tcW w:type="dxa" w:w="115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VALE3</w:t>
            </w:r>
          </w:p>
        </w:tc>
        <w:tc>
          <w:tcPr>
            <w:tcW w:type="dxa" w:w="19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Ações B3</w:t>
            </w:r>
          </w:p>
        </w:tc>
        <w:tc>
          <w:tcPr>
            <w:tcW w:type="dxa" w:w="9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10,0%</w:t>
            </w:r>
          </w:p>
        </w:tc>
        <w:tc>
          <w:tcPr>
            <w:tcW w:type="dxa" w:w="165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-3,62%</w:t>
            </w:r>
          </w:p>
        </w:tc>
        <w:tc>
          <w:tcPr>
            <w:tcW w:type="dxa" w:w="19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-R$ 362.205</w:t>
            </w:r>
          </w:p>
        </w:tc>
      </w:tr>
      <w:tr>
        <w:trPr>
          <w:cantSplit/>
        </w:trPr>
        <w:tc>
          <w:tcPr>
            <w:tcW w:type="dxa" w:w="115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WEGE3</w:t>
            </w:r>
          </w:p>
        </w:tc>
        <w:tc>
          <w:tcPr>
            <w:tcW w:type="dxa" w:w="19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Ações B3</w:t>
            </w:r>
          </w:p>
        </w:tc>
        <w:tc>
          <w:tcPr>
            <w:tcW w:type="dxa" w:w="9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8,0%</w:t>
            </w:r>
          </w:p>
        </w:tc>
        <w:tc>
          <w:tcPr>
            <w:tcW w:type="dxa" w:w="165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+11,21%</w:t>
            </w:r>
          </w:p>
        </w:tc>
        <w:tc>
          <w:tcPr>
            <w:tcW w:type="dxa" w:w="19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R$ 896.907</w:t>
            </w:r>
          </w:p>
        </w:tc>
      </w:tr>
      <w:tr>
        <w:trPr>
          <w:cantSplit/>
        </w:trPr>
        <w:tc>
          <w:tcPr>
            <w:tcW w:type="dxa" w:w="115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ITUB4</w:t>
            </w:r>
          </w:p>
        </w:tc>
        <w:tc>
          <w:tcPr>
            <w:tcW w:type="dxa" w:w="19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Ações B3</w:t>
            </w:r>
          </w:p>
        </w:tc>
        <w:tc>
          <w:tcPr>
            <w:tcW w:type="dxa" w:w="9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8,0%</w:t>
            </w:r>
          </w:p>
        </w:tc>
        <w:tc>
          <w:tcPr>
            <w:tcW w:type="dxa" w:w="165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+10,83%</w:t>
            </w:r>
          </w:p>
        </w:tc>
        <w:tc>
          <w:tcPr>
            <w:tcW w:type="dxa" w:w="19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R$ 866.242</w:t>
            </w:r>
          </w:p>
        </w:tc>
      </w:tr>
      <w:tr>
        <w:trPr>
          <w:cantSplit/>
        </w:trPr>
        <w:tc>
          <w:tcPr>
            <w:tcW w:type="dxa" w:w="115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BBAS3</w:t>
            </w:r>
          </w:p>
        </w:tc>
        <w:tc>
          <w:tcPr>
            <w:tcW w:type="dxa" w:w="19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Ações B3</w:t>
            </w:r>
          </w:p>
        </w:tc>
        <w:tc>
          <w:tcPr>
            <w:tcW w:type="dxa" w:w="9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6,0%</w:t>
            </w:r>
          </w:p>
        </w:tc>
        <w:tc>
          <w:tcPr>
            <w:tcW w:type="dxa" w:w="165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+6,90%</w:t>
            </w:r>
          </w:p>
        </w:tc>
        <w:tc>
          <w:tcPr>
            <w:tcW w:type="dxa" w:w="19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R$ 413.793</w:t>
            </w:r>
          </w:p>
        </w:tc>
      </w:tr>
      <w:tr>
        <w:trPr>
          <w:cantSplit/>
        </w:trPr>
        <w:tc>
          <w:tcPr>
            <w:tcW w:type="dxa" w:w="115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IVVB11</w:t>
            </w:r>
          </w:p>
        </w:tc>
        <w:tc>
          <w:tcPr>
            <w:tcW w:type="dxa" w:w="19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ETF global</w:t>
            </w:r>
          </w:p>
        </w:tc>
        <w:tc>
          <w:tcPr>
            <w:tcW w:type="dxa" w:w="9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10,0%</w:t>
            </w:r>
          </w:p>
        </w:tc>
        <w:tc>
          <w:tcPr>
            <w:tcW w:type="dxa" w:w="165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+8,78%</w:t>
            </w:r>
          </w:p>
        </w:tc>
        <w:tc>
          <w:tcPr>
            <w:tcW w:type="dxa" w:w="19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R$ 877.863</w:t>
            </w:r>
          </w:p>
        </w:tc>
      </w:tr>
      <w:tr>
        <w:trPr>
          <w:cantSplit/>
        </w:trPr>
        <w:tc>
          <w:tcPr>
            <w:tcW w:type="dxa" w:w="115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SOJA</w:t>
            </w:r>
          </w:p>
        </w:tc>
        <w:tc>
          <w:tcPr>
            <w:tcW w:type="dxa" w:w="19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Commodities</w:t>
            </w:r>
          </w:p>
        </w:tc>
        <w:tc>
          <w:tcPr>
            <w:tcW w:type="dxa" w:w="9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6,0%</w:t>
            </w:r>
          </w:p>
        </w:tc>
        <w:tc>
          <w:tcPr>
            <w:tcW w:type="dxa" w:w="165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+12,38%</w:t>
            </w:r>
          </w:p>
        </w:tc>
        <w:tc>
          <w:tcPr>
            <w:tcW w:type="dxa" w:w="19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R$ 742.857</w:t>
            </w:r>
          </w:p>
        </w:tc>
      </w:tr>
      <w:tr>
        <w:trPr>
          <w:cantSplit/>
        </w:trPr>
        <w:tc>
          <w:tcPr>
            <w:tcW w:type="dxa" w:w="115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MILHO</w:t>
            </w:r>
          </w:p>
        </w:tc>
        <w:tc>
          <w:tcPr>
            <w:tcW w:type="dxa" w:w="19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Commodities</w:t>
            </w:r>
          </w:p>
        </w:tc>
        <w:tc>
          <w:tcPr>
            <w:tcW w:type="dxa" w:w="9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5,0%</w:t>
            </w:r>
          </w:p>
        </w:tc>
        <w:tc>
          <w:tcPr>
            <w:tcW w:type="dxa" w:w="165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+14,44%</w:t>
            </w:r>
          </w:p>
        </w:tc>
        <w:tc>
          <w:tcPr>
            <w:tcW w:type="dxa" w:w="19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R$ 721.925</w:t>
            </w:r>
          </w:p>
        </w:tc>
      </w:tr>
      <w:tr>
        <w:trPr>
          <w:cantSplit/>
        </w:trPr>
        <w:tc>
          <w:tcPr>
            <w:tcW w:type="dxa" w:w="115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CAFÉ</w:t>
            </w:r>
          </w:p>
        </w:tc>
        <w:tc>
          <w:tcPr>
            <w:tcW w:type="dxa" w:w="19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Commodities</w:t>
            </w:r>
          </w:p>
        </w:tc>
        <w:tc>
          <w:tcPr>
            <w:tcW w:type="dxa" w:w="9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5,0%</w:t>
            </w:r>
          </w:p>
        </w:tc>
        <w:tc>
          <w:tcPr>
            <w:tcW w:type="dxa" w:w="165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+12,19%</w:t>
            </w:r>
          </w:p>
        </w:tc>
        <w:tc>
          <w:tcPr>
            <w:tcW w:type="dxa" w:w="19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R$ 609.375</w:t>
            </w:r>
          </w:p>
        </w:tc>
      </w:tr>
      <w:tr>
        <w:trPr>
          <w:cantSplit/>
        </w:trPr>
        <w:tc>
          <w:tcPr>
            <w:tcW w:type="dxa" w:w="115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OURO</w:t>
            </w:r>
          </w:p>
        </w:tc>
        <w:tc>
          <w:tcPr>
            <w:tcW w:type="dxa" w:w="19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Proteção</w:t>
            </w:r>
          </w:p>
        </w:tc>
        <w:tc>
          <w:tcPr>
            <w:tcW w:type="dxa" w:w="9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10,0%</w:t>
            </w:r>
          </w:p>
        </w:tc>
        <w:tc>
          <w:tcPr>
            <w:tcW w:type="dxa" w:w="165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+8,70%</w:t>
            </w:r>
          </w:p>
        </w:tc>
        <w:tc>
          <w:tcPr>
            <w:tcW w:type="dxa" w:w="19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R$ 870.130</w:t>
            </w:r>
          </w:p>
        </w:tc>
      </w:tr>
      <w:tr>
        <w:trPr>
          <w:cantSplit/>
        </w:trPr>
        <w:tc>
          <w:tcPr>
            <w:tcW w:type="dxa" w:w="115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USD_BRL</w:t>
            </w:r>
          </w:p>
        </w:tc>
        <w:tc>
          <w:tcPr>
            <w:tcW w:type="dxa" w:w="19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Hedge cambial</w:t>
            </w:r>
          </w:p>
        </w:tc>
        <w:tc>
          <w:tcPr>
            <w:tcW w:type="dxa" w:w="9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5,0%</w:t>
            </w:r>
          </w:p>
        </w:tc>
        <w:tc>
          <w:tcPr>
            <w:tcW w:type="dxa" w:w="165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+6,41%</w:t>
            </w:r>
          </w:p>
        </w:tc>
        <w:tc>
          <w:tcPr>
            <w:tcW w:type="dxa" w:w="19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R$ 320.388</w:t>
            </w:r>
          </w:p>
        </w:tc>
      </w:tr>
      <w:tr>
        <w:trPr>
          <w:cantSplit/>
        </w:trPr>
        <w:tc>
          <w:tcPr>
            <w:tcW w:type="dxa" w:w="115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CDI</w:t>
            </w:r>
          </w:p>
        </w:tc>
        <w:tc>
          <w:tcPr>
            <w:tcW w:type="dxa" w:w="19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Caixa / RF</w:t>
            </w:r>
          </w:p>
        </w:tc>
        <w:tc>
          <w:tcPr>
            <w:tcW w:type="dxa" w:w="9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15,0%</w:t>
            </w:r>
          </w:p>
        </w:tc>
        <w:tc>
          <w:tcPr>
            <w:tcW w:type="dxa" w:w="165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+2,80%</w:t>
            </w:r>
          </w:p>
        </w:tc>
        <w:tc>
          <w:tcPr>
            <w:tcW w:type="dxa" w:w="19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R$ 420.000</w:t>
            </w:r>
          </w:p>
        </w:tc>
      </w:tr>
    </w:tbl>
    <w:p>
      <w:pPr>
        <w:pageBreakBefore w:val="0"/>
        <w:spacing w:after="0" w:before="0" w:line="19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192A49"/>
          <w:left w:val="single" w:sz="6" w:space="0" w:color="192A49"/>
          <w:bottom w:val="single" w:sz="6" w:space="0" w:color="192A49"/>
          <w:right w:val="single" w:sz="6" w:space="0" w:color="192A49"/>
          <w:insideH w:val="single" w:sz="6" w:space="0" w:color="192A49"/>
          <w:insideV w:val="single" w:sz="6" w:space="0" w:color="192A49"/>
        </w:tblBorders>
      </w:tblPr>
      <w:tblGrid>
        <w:gridCol w:w="10426"/>
      </w:tblGrid>
      <w:tr>
        <w:trPr>
          <w:cantSplit/>
        </w:trPr>
        <w:tc>
          <w:tcPr>
            <w:tcW w:type="dxa" w:w="10426"/>
            <w:shd w:fill="EEF3F8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b/>
                <w:i w:val="0"/>
                <w:color w:val="192A49"/>
                <w:sz w:val="17"/>
              </w:rPr>
              <w:t xml:space="preserve">Leitura do book. </w:t>
            </w:r>
            <w:r>
              <w:rPr>
                <w:rFonts w:ascii="Calibri" w:hAnsi="Calibri"/>
                <w:b w:val="0"/>
                <w:i w:val="0"/>
                <w:color w:val="242C35"/>
                <w:sz w:val="17"/>
              </w:rPr>
              <w:t>44% do AUM está em ações B3, 41% em ativos de diversificação/hedge (ETF global, commodities, ouro e câmbio) e 15% em CDI. O maior peso individual é 15%, abaixo do limite institucional de 30% por ativo.</w:t>
            </w:r>
          </w:p>
        </w:tc>
      </w:tr>
    </w:tbl>
    <w:p>
      <w:pPr>
        <w:pageBreakBefore w:val="0"/>
        <w:spacing w:after="0" w:before="0" w:line="192" w:lineRule="auto"/>
      </w:pPr>
    </w:p>
    <w:p>
      <w:pPr>
        <w:pageBreakBefore w:val="0"/>
        <w:spacing w:before="0" w:after="0" w:line="192" w:lineRule="auto"/>
      </w:pPr>
      <w:r/>
    </w:p>
    <w:p>
      <w:pPr>
        <w:spacing w:before="160" w:after="90"/>
        <w:keepNext w:val="1"/>
        <w:pageBreakBefore w:val="0"/>
        <w:pBdr>
          <w:bottom w:val="single" w:sz="8" w:space="3" w:color="B68A3A"/>
        </w:pBdr>
      </w:pPr>
      <w:r>
        <w:rPr>
          <w:rFonts w:ascii="Calibri" w:hAnsi="Calibri"/>
          <w:b/>
          <w:color w:val="192A49"/>
          <w:sz w:val="24"/>
        </w:rPr>
        <w:t>6. Backtest e Protocolo de Validação</w:t>
      </w:r>
    </w:p>
    <w:p>
      <w:pPr>
        <w:pageBreakBefore w:val="0"/>
        <w:spacing w:before="0" w:after="100" w:line="257" w:lineRule="auto"/>
      </w:pPr>
      <w:r>
        <w:rPr>
          <w:rFonts w:ascii="Calibri" w:hAnsi="Calibri"/>
          <w:b w:val="0"/>
          <w:i w:val="0"/>
          <w:color w:val="242C35"/>
          <w:sz w:val="19"/>
        </w:rPr>
        <w:t>Este é o ponto em que fazemos a distinção mais importante do relatório: uma arquitetura pode ser coerente sem ainda estar estatisticamente demonstrada. No pacote atual existem motores de execução, risco, stress e simulação, mas não há uma execução histórica completa do BL+HRP sobre dados reais que gere uma série diária de NAV. Assim, não usamos seeds ou fallbacks da interface como resultado de backtest.</w:t>
      </w:r>
    </w:p>
    <w:p>
      <w:pPr>
        <w:pageBreakBefore w:val="0"/>
        <w:spacing w:before="110" w:after="50"/>
        <w:keepNext w:val="1"/>
      </w:pPr>
      <w:r>
        <w:rPr>
          <w:rFonts w:ascii="Calibri" w:hAnsi="Calibri"/>
          <w:b/>
          <w:color w:val="192A49"/>
          <w:sz w:val="19"/>
        </w:rPr>
        <w:t>Estrutura do backtest histórico</w:t>
      </w:r>
    </w:p>
    <w:p>
      <w:pPr>
        <w:pStyle w:val="ListBullet"/>
        <w:pageBreakBefore w:val="0"/>
        <w:spacing w:after="60" w:line="250" w:lineRule="auto"/>
        <w:ind w:left="259" w:hanging="202"/>
      </w:pPr>
      <w:r>
        <w:rPr>
          <w:rFonts w:ascii="Calibri" w:hAnsi="Calibri"/>
          <w:b w:val="0"/>
          <w:i w:val="0"/>
          <w:color w:val="242C35"/>
          <w:sz w:val="18"/>
        </w:rPr>
        <w:t>Universo e dados de preço definidos com timestamps consistentes antes de cada janela de teste.</w:t>
      </w:r>
    </w:p>
    <w:p>
      <w:pPr>
        <w:pStyle w:val="ListBullet"/>
        <w:pageBreakBefore w:val="0"/>
        <w:spacing w:after="60" w:line="250" w:lineRule="auto"/>
        <w:ind w:left="259" w:hanging="202"/>
      </w:pPr>
      <w:r>
        <w:rPr>
          <w:rFonts w:ascii="Calibri" w:hAnsi="Calibri"/>
          <w:b w:val="0"/>
          <w:i w:val="0"/>
          <w:color w:val="242C35"/>
          <w:sz w:val="18"/>
        </w:rPr>
        <w:t>Formação de sinal e regras de rebalanceamento congeladas por janela, sem acesso a informação futura (look-ahead).</w:t>
      </w:r>
    </w:p>
    <w:p>
      <w:pPr>
        <w:pStyle w:val="ListBullet"/>
        <w:pageBreakBefore w:val="0"/>
        <w:spacing w:after="60" w:line="250" w:lineRule="auto"/>
        <w:ind w:left="259" w:hanging="202"/>
      </w:pPr>
      <w:r>
        <w:rPr>
          <w:rFonts w:ascii="Calibri" w:hAnsi="Calibri"/>
          <w:b w:val="0"/>
          <w:i w:val="0"/>
          <w:color w:val="242C35"/>
          <w:sz w:val="18"/>
        </w:rPr>
        <w:t>Separação temporal entre calibração e avaliação, com validação out-of-sample / walk-forward.</w:t>
      </w:r>
    </w:p>
    <w:p>
      <w:pPr>
        <w:pStyle w:val="ListBullet"/>
        <w:pageBreakBefore w:val="0"/>
        <w:spacing w:after="60" w:line="250" w:lineRule="auto"/>
        <w:ind w:left="259" w:hanging="202"/>
      </w:pPr>
      <w:r>
        <w:rPr>
          <w:rFonts w:ascii="Calibri" w:hAnsi="Calibri"/>
          <w:b w:val="0"/>
          <w:i w:val="0"/>
          <w:color w:val="242C35"/>
          <w:sz w:val="18"/>
        </w:rPr>
        <w:t>Custos aplicados por ordem: spread/slippage e impacto de mercado em função da liquidez e da fração do ADV.</w:t>
      </w:r>
    </w:p>
    <w:p>
      <w:pPr>
        <w:pStyle w:val="ListBullet"/>
        <w:pageBreakBefore w:val="0"/>
        <w:spacing w:after="60" w:line="250" w:lineRule="auto"/>
        <w:ind w:left="259" w:hanging="202"/>
      </w:pPr>
      <w:r>
        <w:rPr>
          <w:rFonts w:ascii="Calibri" w:hAnsi="Calibri"/>
          <w:b w:val="0"/>
          <w:i w:val="0"/>
          <w:color w:val="242C35"/>
          <w:sz w:val="18"/>
        </w:rPr>
        <w:t>Benchmark primário de 100% CDI e referência secundária de Ibovespa/BOVA11.</w:t>
      </w:r>
    </w:p>
    <w:p>
      <w:pPr>
        <w:pStyle w:val="ListBullet"/>
        <w:pageBreakBefore w:val="0"/>
        <w:spacing w:after="60" w:line="250" w:lineRule="auto"/>
        <w:ind w:left="259" w:hanging="202"/>
      </w:pPr>
      <w:r>
        <w:rPr>
          <w:rFonts w:ascii="Calibri" w:hAnsi="Calibri"/>
          <w:b w:val="0"/>
          <w:i w:val="0"/>
          <w:color w:val="242C35"/>
          <w:sz w:val="18"/>
        </w:rPr>
        <w:t>Log de parâmetros, sinais, pesos, custos e NAV de cada execução para permitir reprodução e auditoria.</w:t>
      </w:r>
    </w:p>
    <w:p>
      <w:pPr>
        <w:pageBreakBefore w:val="0"/>
        <w:spacing w:before="110" w:after="50"/>
        <w:keepNext w:val="1"/>
      </w:pPr>
      <w:r>
        <w:rPr>
          <w:rFonts w:ascii="Calibri" w:hAnsi="Calibri"/>
          <w:b/>
          <w:color w:val="192A49"/>
          <w:sz w:val="19"/>
        </w:rPr>
        <w:t>Validação complementar disponível no protótipo</w:t>
      </w:r>
    </w:p>
    <w:p>
      <w:pPr>
        <w:pageBreakBefore w:val="0"/>
        <w:spacing w:before="0" w:after="100" w:line="257" w:lineRule="auto"/>
      </w:pPr>
      <w:r>
        <w:rPr>
          <w:rFonts w:ascii="Calibri" w:hAnsi="Calibri"/>
          <w:b w:val="0"/>
          <w:i w:val="0"/>
          <w:color w:val="242C35"/>
          <w:sz w:val="18"/>
        </w:rPr>
        <w:t>Enquanto o backtest integrado não é produzido, os motores existentes são usados como testes de coerência. Os cenários abaixo são parametrizados no código e cobrem todas as 12 posições do snapshot; portanto, medem sensibilidade do book, não histórico de performance.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EC5CF"/>
          <w:left w:val="single" w:sz="4" w:space="0" w:color="BEC5CF"/>
          <w:bottom w:val="single" w:sz="4" w:space="0" w:color="BEC5CF"/>
          <w:right w:val="single" w:sz="4" w:space="0" w:color="BEC5CF"/>
          <w:insideH w:val="single" w:sz="4" w:space="0" w:color="BEC5CF"/>
          <w:insideV w:val="single" w:sz="4" w:space="0" w:color="BEC5CF"/>
        </w:tblBorders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2450"/>
            <w:shd w:fill="192A49"/>
            <w:tcMar>
              <w:top w:w="62" w:type="dxa"/>
              <w:start w:w="62" w:type="dxa"/>
              <w:bottom w:w="62" w:type="dxa"/>
              <w:end w:w="62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Cenário parametrizado</w:t>
            </w:r>
          </w:p>
        </w:tc>
        <w:tc>
          <w:tcPr>
            <w:tcW w:type="dxa" w:w="1350"/>
            <w:shd w:fill="192A49"/>
            <w:tcMar>
              <w:top w:w="62" w:type="dxa"/>
              <w:start w:w="62" w:type="dxa"/>
              <w:bottom w:w="62" w:type="dxa"/>
              <w:end w:w="62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Impacto no AUM</w:t>
            </w:r>
          </w:p>
        </w:tc>
        <w:tc>
          <w:tcPr>
            <w:tcW w:type="dxa" w:w="4050"/>
            <w:shd w:fill="192A49"/>
            <w:tcMar>
              <w:top w:w="62" w:type="dxa"/>
              <w:start w:w="62" w:type="dxa"/>
              <w:bottom w:w="62" w:type="dxa"/>
              <w:end w:w="62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Leitura</w:t>
            </w:r>
          </w:p>
        </w:tc>
      </w:tr>
      <w:tr>
        <w:trPr>
          <w:cantSplit/>
        </w:trPr>
        <w:tc>
          <w:tcPr>
            <w:tcW w:type="dxa" w:w="245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Super El Niño / estresse climático</w:t>
            </w:r>
          </w:p>
        </w:tc>
        <w:tc>
          <w:tcPr>
            <w:tcW w:type="dxa" w:w="135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+4,41%</w:t>
            </w:r>
          </w:p>
        </w:tc>
        <w:tc>
          <w:tcPr>
            <w:tcW w:type="dxa" w:w="405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Alta de grãos, café e USD compensa perdas no bloco doméstico.</w:t>
            </w:r>
          </w:p>
        </w:tc>
      </w:tr>
      <w:tr>
        <w:trPr>
          <w:cantSplit/>
        </w:trPr>
        <w:tc>
          <w:tcPr>
            <w:tcW w:type="dxa" w:w="245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Escalada geopolítica / choque logístico</w:t>
            </w:r>
          </w:p>
        </w:tc>
        <w:tc>
          <w:tcPr>
            <w:tcW w:type="dxa" w:w="135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+6,80%</w:t>
            </w:r>
          </w:p>
        </w:tc>
        <w:tc>
          <w:tcPr>
            <w:tcW w:type="dxa" w:w="405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Ouro, USD, petróleo e exposição global dominam o cenário parametrizado.</w:t>
            </w:r>
          </w:p>
        </w:tc>
      </w:tr>
      <w:tr>
        <w:trPr>
          <w:cantSplit/>
        </w:trPr>
        <w:tc>
          <w:tcPr>
            <w:tcW w:type="dxa" w:w="245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Estagflação global</w:t>
            </w:r>
          </w:p>
        </w:tc>
        <w:tc>
          <w:tcPr>
            <w:tcW w:type="dxa" w:w="135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-4,42%</w:t>
            </w:r>
          </w:p>
        </w:tc>
        <w:tc>
          <w:tcPr>
            <w:tcW w:type="dxa" w:w="405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Queda de ações e risco é parcialmente amortecida por CDI, ouro e USD.</w:t>
            </w:r>
          </w:p>
        </w:tc>
      </w:tr>
    </w:tbl>
    <w:p>
      <w:pPr>
        <w:pageBreakBefore w:val="0"/>
        <w:spacing w:after="0" w:before="0" w:line="192" w:lineRule="auto"/>
      </w:pPr>
    </w:p>
    <w:p>
      <w:pPr>
        <w:pageBreakBefore w:val="0"/>
        <w:spacing w:before="0" w:after="80" w:line="257" w:lineRule="auto"/>
      </w:pPr>
      <w:r>
        <w:rPr>
          <w:rFonts w:ascii="Calibri" w:hAnsi="Calibri"/>
          <w:b w:val="0"/>
          <w:i/>
          <w:color w:val="5C6673"/>
          <w:sz w:val="16"/>
        </w:rPr>
        <w:t>Os impactos acima foram recalculados a partir dos pesos reais do CSV e dos choques definidos no protótipo, em vez de usar o campo de P&amp;L pré-gravado no mockup.</w:t>
      </w:r>
    </w:p>
    <w:p>
      <w:pPr>
        <w:pageBreakBefore w:val="0"/>
        <w:spacing w:before="0" w:after="100" w:line="257" w:lineRule="auto"/>
      </w:pPr>
      <w:r>
        <w:rPr>
          <w:rFonts w:ascii="Calibri" w:hAnsi="Calibri"/>
          <w:b w:val="0"/>
          <w:i w:val="0"/>
          <w:color w:val="242C35"/>
          <w:sz w:val="18"/>
        </w:rPr>
        <w:t>A simulação de Monte Carlo usa GBM com 500 trajetórias e horizonte de 30 pregões. O motor agrega drift e volatilidade pelos pesos e aplica um fator fixo de 0,85 como proxy de diversificação. É um bom teste de cauda para o protótipo, mas a versão final deve substituir esse fator por uma matriz de covariância estimada empiricamente entre os ativos.</w:t>
      </w:r>
    </w:p>
    <w:p>
      <w:pPr>
        <w:pageBreakBefore w:val="0"/>
        <w:spacing w:before="0" w:after="0" w:line="192" w:lineRule="auto"/>
      </w:pPr>
      <w:r/>
    </w:p>
    <w:p>
      <w:pPr>
        <w:spacing w:before="160" w:after="90"/>
        <w:keepNext w:val="1"/>
        <w:pageBreakBefore w:val="0"/>
        <w:pBdr>
          <w:bottom w:val="single" w:sz="8" w:space="3" w:color="B68A3A"/>
        </w:pBdr>
      </w:pPr>
      <w:r>
        <w:rPr>
          <w:rFonts w:ascii="Calibri" w:hAnsi="Calibri"/>
          <w:b/>
          <w:color w:val="192A49"/>
          <w:sz w:val="24"/>
        </w:rPr>
        <w:t>7. Análise dos Resultados</w:t>
      </w:r>
    </w:p>
    <w:p>
      <w:pPr>
        <w:pageBreakBefore w:val="0"/>
        <w:spacing w:before="0" w:after="100" w:line="257" w:lineRule="auto"/>
      </w:pPr>
      <w:r>
        <w:rPr>
          <w:rFonts w:ascii="Calibri" w:hAnsi="Calibri"/>
          <w:b w:val="0"/>
          <w:i w:val="0"/>
          <w:color w:val="242C35"/>
          <w:sz w:val="19"/>
        </w:rPr>
        <w:t xml:space="preserve">No snapshot de 12/08/2026, o P&amp;L não realizado agregado é de </w:t>
      </w:r>
      <w:r>
        <w:rPr>
          <w:rFonts w:ascii="Calibri" w:hAnsi="Calibri"/>
          <w:b/>
          <w:i w:val="0"/>
          <w:color w:val="192A49"/>
          <w:sz w:val="19"/>
        </w:rPr>
        <w:t>R$ 7.868.503,80 (+7,87% sobre o AUM simulado)</w:t>
      </w:r>
      <w:r>
        <w:rPr>
          <w:rFonts w:ascii="Calibri" w:hAnsi="Calibri"/>
          <w:b w:val="0"/>
          <w:i w:val="0"/>
          <w:color w:val="242C35"/>
          <w:sz w:val="19"/>
        </w:rPr>
        <w:t>. PETR4 é a maior contribuição positiva (+R$ 1,49 milhão) e VALE3 a única posição negativa (-R$ 362 mil). O ponto mais relevante, porém, é a distribuição do risco: o resultado não está concentrado em uma única classe, há 15% em caixa/CDI e existe um bloco material de diversificação em commodities, ouro, câmbio e exposição global.</w:t>
      </w:r>
    </w:p>
    <w:p>
      <w:pPr>
        <w:pStyle w:val="ListBullet"/>
        <w:pageBreakBefore w:val="0"/>
        <w:spacing w:after="60" w:line="250" w:lineRule="auto"/>
        <w:ind w:left="259" w:hanging="202"/>
      </w:pPr>
      <w:r>
        <w:rPr>
          <w:rFonts w:ascii="Calibri" w:hAnsi="Calibri"/>
          <w:b w:val="0"/>
          <w:i w:val="0"/>
          <w:color w:val="242C35"/>
          <w:sz w:val="18"/>
        </w:rPr>
        <w:t>Concentração: maior posição de 15%, abaixo do teto de 30% por ativo.</w:t>
      </w:r>
    </w:p>
    <w:p>
      <w:pPr>
        <w:pStyle w:val="ListBullet"/>
        <w:pageBreakBefore w:val="0"/>
        <w:spacing w:after="60" w:line="250" w:lineRule="auto"/>
        <w:ind w:left="259" w:hanging="202"/>
      </w:pPr>
      <w:r>
        <w:rPr>
          <w:rFonts w:ascii="Calibri" w:hAnsi="Calibri"/>
          <w:b w:val="0"/>
          <w:i w:val="0"/>
          <w:color w:val="242C35"/>
          <w:sz w:val="18"/>
        </w:rPr>
        <w:t>Diversificação: 44% em ações B3, 41% em hedges/diversificadores e 15% em CDI.</w:t>
      </w:r>
    </w:p>
    <w:p>
      <w:pPr>
        <w:pStyle w:val="ListBullet"/>
        <w:pageBreakBefore w:val="0"/>
        <w:spacing w:after="60" w:line="250" w:lineRule="auto"/>
        <w:ind w:left="259" w:hanging="202"/>
      </w:pPr>
      <w:r>
        <w:rPr>
          <w:rFonts w:ascii="Calibri" w:hAnsi="Calibri"/>
          <w:b w:val="0"/>
          <w:i w:val="0"/>
          <w:color w:val="242C35"/>
          <w:sz w:val="18"/>
        </w:rPr>
        <w:t>Stress integral: entre os cenários de cobertura total avaliados, estagflação é o principal choque adverso (-4,42% do AUM).</w:t>
      </w:r>
    </w:p>
    <w:p>
      <w:pPr>
        <w:pStyle w:val="ListBullet"/>
        <w:pageBreakBefore w:val="0"/>
        <w:spacing w:after="60" w:line="250" w:lineRule="auto"/>
        <w:ind w:left="259" w:hanging="202"/>
      </w:pPr>
      <w:r>
        <w:rPr>
          <w:rFonts w:ascii="Calibri" w:hAnsi="Calibri"/>
          <w:b w:val="0"/>
          <w:i w:val="0"/>
          <w:color w:val="242C35"/>
          <w:sz w:val="18"/>
        </w:rPr>
        <w:t>Integridade: retorno anualizado, Sharpe, Sortino, Calmar e máximo drawdown não são reportados sem uma série temporal validada de NAV.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68A3A"/>
          <w:left w:val="single" w:sz="6" w:space="0" w:color="B68A3A"/>
          <w:bottom w:val="single" w:sz="6" w:space="0" w:color="B68A3A"/>
          <w:right w:val="single" w:sz="6" w:space="0" w:color="B68A3A"/>
          <w:insideH w:val="single" w:sz="6" w:space="0" w:color="B68A3A"/>
          <w:insideV w:val="single" w:sz="6" w:space="0" w:color="B68A3A"/>
        </w:tblBorders>
      </w:tblPr>
      <w:tblGrid>
        <w:gridCol w:w="10426"/>
      </w:tblGrid>
      <w:tr>
        <w:trPr>
          <w:cantSplit/>
        </w:trPr>
        <w:tc>
          <w:tcPr>
            <w:tcW w:type="dxa" w:w="10426"/>
            <w:shd w:fill="F7F1E6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b/>
                <w:i w:val="0"/>
                <w:color w:val="B68A3A"/>
                <w:sz w:val="17"/>
              </w:rPr>
              <w:t xml:space="preserve">Interpretação. </w:t>
            </w:r>
            <w:r>
              <w:rPr>
                <w:rFonts w:ascii="Calibri" w:hAnsi="Calibri"/>
                <w:b w:val="0"/>
                <w:i w:val="0"/>
                <w:color w:val="242C35"/>
                <w:sz w:val="17"/>
              </w:rPr>
              <w:t>O snapshot é coerente com a tese de diversificação e com os limites de concentração, mas não prova persistência de alpha. Essa diferença orienta o próximo ciclo de testes e evita transformar uma fotografia favorável em conclusão estatística.</w:t>
            </w:r>
          </w:p>
        </w:tc>
      </w:tr>
    </w:tbl>
    <w:p>
      <w:pPr>
        <w:pageBreakBefore w:val="0"/>
        <w:spacing w:after="0" w:before="0" w:line="192" w:lineRule="auto"/>
      </w:pPr>
    </w:p>
    <w:p>
      <w:pPr>
        <w:spacing w:before="160" w:after="90"/>
        <w:keepNext w:val="1"/>
        <w:pageBreakBefore w:val="0"/>
        <w:pBdr>
          <w:bottom w:val="single" w:sz="8" w:space="3" w:color="B68A3A"/>
        </w:pBdr>
      </w:pPr>
      <w:r>
        <w:rPr>
          <w:rFonts w:ascii="Calibri" w:hAnsi="Calibri"/>
          <w:b/>
          <w:color w:val="192A49"/>
          <w:sz w:val="24"/>
        </w:rPr>
        <w:t>8. Risco e Governança</w:t>
      </w:r>
    </w:p>
    <w:p>
      <w:pPr>
        <w:pageBreakBefore w:val="0"/>
        <w:spacing w:before="0" w:after="100" w:line="257" w:lineRule="auto"/>
      </w:pPr>
      <w:r>
        <w:rPr>
          <w:rFonts w:ascii="Calibri" w:hAnsi="Calibri"/>
          <w:b w:val="0"/>
          <w:i w:val="0"/>
          <w:color w:val="242C35"/>
          <w:sz w:val="18"/>
        </w:rPr>
        <w:t>A governança foi construída para limitar a carteira mesmo quando o sinal é otimista. Os hard limits são determinísticos; se houver violação de concentração, o motor de remediação recorta pesos acima do teto e redistribui o excedente até voltar a 100%.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EC5CF"/>
          <w:left w:val="single" w:sz="4" w:space="0" w:color="BEC5CF"/>
          <w:bottom w:val="single" w:sz="4" w:space="0" w:color="BEC5CF"/>
          <w:right w:val="single" w:sz="4" w:space="0" w:color="BEC5CF"/>
          <w:insideH w:val="single" w:sz="4" w:space="0" w:color="BEC5CF"/>
          <w:insideV w:val="single" w:sz="4" w:space="0" w:color="BEC5CF"/>
        </w:tblBorders>
      </w:tblPr>
      <w:tblGrid>
        <w:gridCol w:w="5213"/>
        <w:gridCol w:w="5213"/>
      </w:tblGrid>
      <w:tr>
        <w:trPr>
          <w:tblHeader w:val="true"/>
          <w:cantSplit/>
        </w:trPr>
        <w:tc>
          <w:tcPr>
            <w:tcW w:type="dxa" w:w="5200"/>
            <w:shd w:fill="192A49"/>
            <w:tcMar>
              <w:top w:w="62" w:type="dxa"/>
              <w:start w:w="62" w:type="dxa"/>
              <w:bottom w:w="62" w:type="dxa"/>
              <w:end w:w="62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Limite institucional</w:t>
            </w:r>
          </w:p>
        </w:tc>
        <w:tc>
          <w:tcPr>
            <w:tcW w:type="dxa" w:w="2200"/>
            <w:shd w:fill="192A49"/>
            <w:tcMar>
              <w:top w:w="62" w:type="dxa"/>
              <w:start w:w="62" w:type="dxa"/>
              <w:bottom w:w="62" w:type="dxa"/>
              <w:end w:w="62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Valor</w:t>
            </w:r>
          </w:p>
        </w:tc>
      </w:tr>
      <w:tr>
        <w:trPr>
          <w:cantSplit/>
        </w:trPr>
        <w:tc>
          <w:tcPr>
            <w:tcW w:type="dxa" w:w="52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6"/>
              </w:rPr>
              <w:t>Peso máximo por ativo</w:t>
            </w:r>
          </w:p>
        </w:tc>
        <w:tc>
          <w:tcPr>
            <w:tcW w:type="dxa" w:w="22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6"/>
              </w:rPr>
              <w:t>30%</w:t>
            </w:r>
          </w:p>
        </w:tc>
      </w:tr>
      <w:tr>
        <w:trPr>
          <w:cantSplit/>
        </w:trPr>
        <w:tc>
          <w:tcPr>
            <w:tcW w:type="dxa" w:w="52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6"/>
              </w:rPr>
              <w:t>CVaR 95% máximo</w:t>
            </w:r>
          </w:p>
        </w:tc>
        <w:tc>
          <w:tcPr>
            <w:tcW w:type="dxa" w:w="22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6"/>
              </w:rPr>
              <w:t>3,5%</w:t>
            </w:r>
          </w:p>
        </w:tc>
      </w:tr>
      <w:tr>
        <w:trPr>
          <w:cantSplit/>
        </w:trPr>
        <w:tc>
          <w:tcPr>
            <w:tcW w:type="dxa" w:w="52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6"/>
              </w:rPr>
              <w:t>Volatilidade anualizada máxima</w:t>
            </w:r>
          </w:p>
        </w:tc>
        <w:tc>
          <w:tcPr>
            <w:tcW w:type="dxa" w:w="22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6"/>
              </w:rPr>
              <w:t>14%</w:t>
            </w:r>
          </w:p>
        </w:tc>
      </w:tr>
      <w:tr>
        <w:trPr>
          <w:cantSplit/>
        </w:trPr>
        <w:tc>
          <w:tcPr>
            <w:tcW w:type="dxa" w:w="52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6"/>
              </w:rPr>
              <w:t>Beta máximo vs. mercado</w:t>
            </w:r>
          </w:p>
        </w:tc>
        <w:tc>
          <w:tcPr>
            <w:tcW w:type="dxa" w:w="22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6"/>
              </w:rPr>
              <w:t>0,70</w:t>
            </w:r>
          </w:p>
        </w:tc>
      </w:tr>
      <w:tr>
        <w:trPr>
          <w:cantSplit/>
        </w:trPr>
        <w:tc>
          <w:tcPr>
            <w:tcW w:type="dxa" w:w="52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6"/>
              </w:rPr>
              <w:t>Alavancagem máxima</w:t>
            </w:r>
          </w:p>
        </w:tc>
        <w:tc>
          <w:tcPr>
            <w:tcW w:type="dxa" w:w="22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6"/>
              </w:rPr>
              <w:t>1,0x (sem alavancagem)</w:t>
            </w:r>
          </w:p>
        </w:tc>
      </w:tr>
    </w:tbl>
    <w:p>
      <w:pPr>
        <w:pageBreakBefore w:val="0"/>
        <w:spacing w:after="0" w:before="0" w:line="192" w:lineRule="auto"/>
      </w:pPr>
    </w:p>
    <w:p>
      <w:pPr>
        <w:pageBreakBefore w:val="0"/>
        <w:spacing w:before="110" w:after="50"/>
        <w:keepNext w:val="1"/>
      </w:pPr>
      <w:r>
        <w:rPr>
          <w:rFonts w:ascii="Calibri" w:hAnsi="Calibri"/>
          <w:b/>
          <w:color w:val="192A49"/>
          <w:sz w:val="19"/>
        </w:rPr>
        <w:t>Early Warning System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EC5CF"/>
          <w:left w:val="single" w:sz="4" w:space="0" w:color="BEC5CF"/>
          <w:bottom w:val="single" w:sz="4" w:space="0" w:color="BEC5CF"/>
          <w:right w:val="single" w:sz="4" w:space="0" w:color="BEC5CF"/>
          <w:insideH w:val="single" w:sz="4" w:space="0" w:color="BEC5CF"/>
          <w:insideV w:val="single" w:sz="4" w:space="0" w:color="BEC5CF"/>
        </w:tblBorders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2500"/>
            <w:shd w:fill="192A49"/>
            <w:tcMar>
              <w:top w:w="62" w:type="dxa"/>
              <w:start w:w="62" w:type="dxa"/>
              <w:bottom w:w="62" w:type="dxa"/>
              <w:end w:w="62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Indicador</w:t>
            </w:r>
          </w:p>
        </w:tc>
        <w:tc>
          <w:tcPr>
            <w:tcW w:type="dxa" w:w="1900"/>
            <w:shd w:fill="192A49"/>
            <w:tcMar>
              <w:top w:w="62" w:type="dxa"/>
              <w:start w:w="62" w:type="dxa"/>
              <w:bottom w:w="62" w:type="dxa"/>
              <w:end w:w="62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Atenção / Crítico</w:t>
            </w:r>
          </w:p>
        </w:tc>
        <w:tc>
          <w:tcPr>
            <w:tcW w:type="dxa" w:w="3400"/>
            <w:shd w:fill="192A49"/>
            <w:tcMar>
              <w:top w:w="62" w:type="dxa"/>
              <w:start w:w="62" w:type="dxa"/>
              <w:bottom w:w="62" w:type="dxa"/>
              <w:end w:w="62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O que sinaliza</w:t>
            </w:r>
          </w:p>
        </w:tc>
      </w:tr>
      <w:tr>
        <w:trPr>
          <w:cantSplit/>
        </w:trPr>
        <w:tc>
          <w:tcPr>
            <w:tcW w:type="dxa" w:w="25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Correlação cruzada média</w:t>
            </w:r>
          </w:p>
        </w:tc>
        <w:tc>
          <w:tcPr>
            <w:tcW w:type="dxa" w:w="19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&gt; 0,45 / &gt; 0,60</w:t>
            </w:r>
          </w:p>
        </w:tc>
        <w:tc>
          <w:tcPr>
            <w:tcW w:type="dxa" w:w="34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Perda de diversificação do HRP</w:t>
            </w:r>
          </w:p>
        </w:tc>
      </w:tr>
      <w:tr>
        <w:trPr>
          <w:cantSplit/>
        </w:trPr>
        <w:tc>
          <w:tcPr>
            <w:tcW w:type="dxa" w:w="25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Vol realizada / esperada</w:t>
            </w:r>
          </w:p>
        </w:tc>
        <w:tc>
          <w:tcPr>
            <w:tcW w:type="dxa" w:w="19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&gt; 1,15x / &gt; 1,35x</w:t>
            </w:r>
          </w:p>
        </w:tc>
        <w:tc>
          <w:tcPr>
            <w:tcW w:type="dxa" w:w="34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Instabilidade do regime de volatilidade</w:t>
            </w:r>
          </w:p>
        </w:tc>
      </w:tr>
      <w:tr>
        <w:trPr>
          <w:cantSplit/>
        </w:trPr>
        <w:tc>
          <w:tcPr>
            <w:tcW w:type="dxa" w:w="25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Aceleração do CVaR</w:t>
            </w:r>
          </w:p>
        </w:tc>
        <w:tc>
          <w:tcPr>
            <w:tcW w:type="dxa" w:w="19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&gt; 0,08 / &gt; 0,15</w:t>
            </w:r>
          </w:p>
        </w:tc>
        <w:tc>
          <w:tcPr>
            <w:tcW w:type="dxa" w:w="34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Aumento rápido do risco de cauda</w:t>
            </w:r>
          </w:p>
        </w:tc>
      </w:tr>
      <w:tr>
        <w:trPr>
          <w:cantSplit/>
        </w:trPr>
        <w:tc>
          <w:tcPr>
            <w:tcW w:type="dxa" w:w="25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Data drift</w:t>
            </w:r>
          </w:p>
        </w:tc>
        <w:tc>
          <w:tcPr>
            <w:tcW w:type="dxa" w:w="19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&gt; 30 / &gt; 50</w:t>
            </w:r>
          </w:p>
        </w:tc>
        <w:tc>
          <w:tcPr>
            <w:tcW w:type="dxa" w:w="34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Mudança na distribuição dos sinais</w:t>
            </w:r>
          </w:p>
        </w:tc>
      </w:tr>
    </w:tbl>
    <w:p>
      <w:pPr>
        <w:pageBreakBefore w:val="0"/>
        <w:spacing w:after="0" w:before="0" w:line="192" w:lineRule="auto"/>
      </w:pPr>
    </w:p>
    <w:p>
      <w:pPr>
        <w:pageBreakBefore w:val="0"/>
        <w:spacing w:before="0" w:after="60" w:line="257" w:lineRule="auto"/>
      </w:pPr>
      <w:r>
        <w:rPr>
          <w:rFonts w:ascii="Calibri" w:hAnsi="Calibri"/>
          <w:b w:val="0"/>
          <w:i/>
          <w:color w:val="5C6673"/>
          <w:sz w:val="16"/>
        </w:rPr>
        <w:t>O score agregado classifica o estado do sistema como NOMINAL (&lt;=25), ATENÇÃO (26-50) ou CRISE (&gt;50). A IA pode ajudar a sintetizar o diagnóstico, mas não altera os limites nem substitui a lógica de compliance.</w:t>
      </w:r>
    </w:p>
    <w:p>
      <w:pPr>
        <w:pageBreakBefore w:val="0"/>
        <w:spacing w:before="0" w:after="0" w:line="192" w:lineRule="auto"/>
      </w:pPr>
      <w:r/>
    </w:p>
    <w:p>
      <w:pPr>
        <w:spacing w:before="160" w:after="90"/>
        <w:keepNext w:val="1"/>
        <w:pageBreakBefore w:val="0"/>
        <w:pBdr>
          <w:bottom w:val="single" w:sz="8" w:space="3" w:color="B68A3A"/>
        </w:pBdr>
      </w:pPr>
      <w:r>
        <w:rPr>
          <w:rFonts w:ascii="Calibri" w:hAnsi="Calibri"/>
          <w:b/>
          <w:color w:val="192A49"/>
          <w:sz w:val="24"/>
        </w:rPr>
        <w:t>9. Uso de IA Generativa</w:t>
      </w:r>
    </w:p>
    <w:p>
      <w:pPr>
        <w:pageBreakBefore w:val="0"/>
        <w:spacing w:before="0" w:after="100" w:line="257" w:lineRule="auto"/>
      </w:pPr>
      <w:r>
        <w:rPr>
          <w:rFonts w:ascii="Calibri" w:hAnsi="Calibri"/>
          <w:b w:val="0"/>
          <w:i w:val="0"/>
          <w:color w:val="242C35"/>
          <w:sz w:val="19"/>
        </w:rPr>
        <w:t>A IA generativa aparece em etapas específicas e sempre com uma fronteira clara: ela pode explicar, organizar e sugerir, mas decisões quantitativas e números usados no relatório precisam continuar rastreáveis. Abaixo deixamos explícito onde a IA entrou e o que continuou sob responsabilidade da equipe.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EC5CF"/>
          <w:left w:val="single" w:sz="4" w:space="0" w:color="BEC5CF"/>
          <w:bottom w:val="single" w:sz="4" w:space="0" w:color="BEC5CF"/>
          <w:right w:val="single" w:sz="4" w:space="0" w:color="BEC5CF"/>
          <w:insideH w:val="single" w:sz="4" w:space="0" w:color="BEC5CF"/>
          <w:insideV w:val="single" w:sz="4" w:space="0" w:color="BEC5CF"/>
        </w:tblBorders>
      </w:tblPr>
      <w:tblGrid>
        <w:gridCol w:w="2606"/>
        <w:gridCol w:w="2606"/>
        <w:gridCol w:w="2606"/>
        <w:gridCol w:w="2606"/>
      </w:tblGrid>
      <w:tr>
        <w:trPr>
          <w:tblHeader w:val="true"/>
          <w:cantSplit/>
        </w:trPr>
        <w:tc>
          <w:tcPr>
            <w:tcW w:type="dxa" w:w="1550"/>
            <w:shd w:fill="192A49"/>
            <w:tcMar>
              <w:top w:w="62" w:type="dxa"/>
              <w:start w:w="62" w:type="dxa"/>
              <w:bottom w:w="62" w:type="dxa"/>
              <w:end w:w="62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Etapa</w:t>
            </w:r>
          </w:p>
        </w:tc>
        <w:tc>
          <w:tcPr>
            <w:tcW w:type="dxa" w:w="1600"/>
            <w:shd w:fill="192A49"/>
            <w:tcMar>
              <w:top w:w="62" w:type="dxa"/>
              <w:start w:w="62" w:type="dxa"/>
              <w:bottom w:w="62" w:type="dxa"/>
              <w:end w:w="62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Ferramenta</w:t>
            </w:r>
          </w:p>
        </w:tc>
        <w:tc>
          <w:tcPr>
            <w:tcW w:type="dxa" w:w="2800"/>
            <w:shd w:fill="192A49"/>
            <w:tcMar>
              <w:top w:w="62" w:type="dxa"/>
              <w:start w:w="62" w:type="dxa"/>
              <w:bottom w:w="62" w:type="dxa"/>
              <w:end w:w="62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Contribuição da IA</w:t>
            </w:r>
          </w:p>
        </w:tc>
        <w:tc>
          <w:tcPr>
            <w:tcW w:type="dxa" w:w="2550"/>
            <w:shd w:fill="192A49"/>
            <w:tcMar>
              <w:top w:w="62" w:type="dxa"/>
              <w:start w:w="62" w:type="dxa"/>
              <w:bottom w:w="62" w:type="dxa"/>
              <w:end w:w="62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Conteúdo / decisão da equipe</w:t>
            </w:r>
          </w:p>
        </w:tc>
      </w:tr>
      <w:tr>
        <w:trPr>
          <w:cantSplit/>
        </w:trPr>
        <w:tc>
          <w:tcPr>
            <w:tcW w:type="dxa" w:w="155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4"/>
              </w:rPr>
              <w:t>Síntese de risco no protótipo</w:t>
            </w:r>
          </w:p>
        </w:tc>
        <w:tc>
          <w:tcPr>
            <w:tcW w:type="dxa" w:w="16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4"/>
              </w:rPr>
              <w:t>Google Gemini 2.5 Flash</w:t>
            </w:r>
          </w:p>
        </w:tc>
        <w:tc>
          <w:tcPr>
            <w:tcW w:type="dxa" w:w="28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4"/>
              </w:rPr>
              <w:t>Converte métricas de Monte Carlo, compliance e EWS em uma leitura executiva para o comitê.</w:t>
            </w:r>
          </w:p>
        </w:tc>
        <w:tc>
          <w:tcPr>
            <w:tcW w:type="dxa" w:w="255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4"/>
              </w:rPr>
              <w:t>Hard limits, cálculos, pesos e aprovação final continuam determinísticos / sob validação da equipe.</w:t>
            </w:r>
          </w:p>
        </w:tc>
      </w:tr>
      <w:tr>
        <w:trPr>
          <w:cantSplit/>
        </w:trPr>
        <w:tc>
          <w:tcPr>
            <w:tcW w:type="dxa" w:w="155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4"/>
              </w:rPr>
              <w:t>Revisão do relatório</w:t>
            </w:r>
          </w:p>
        </w:tc>
        <w:tc>
          <w:tcPr>
            <w:tcW w:type="dxa" w:w="16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4"/>
              </w:rPr>
              <w:t>ChatGPT</w:t>
            </w:r>
          </w:p>
        </w:tc>
        <w:tc>
          <w:tcPr>
            <w:tcW w:type="dxa" w:w="28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4"/>
              </w:rPr>
              <w:t>Apoio na estrutura, clareza de linguagem, checagem de aderência ao regulamento e explicitação de premissas/limitações.</w:t>
            </w:r>
          </w:p>
        </w:tc>
        <w:tc>
          <w:tcPr>
            <w:tcW w:type="dxa" w:w="255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4"/>
              </w:rPr>
              <w:t>Hipótese, código, parâmetros, números e decisão final de submissão permanecem sob responsabilidade da equipe.</w:t>
            </w:r>
          </w:p>
        </w:tc>
      </w:tr>
      <w:tr>
        <w:trPr>
          <w:cantSplit/>
        </w:trPr>
        <w:tc>
          <w:tcPr>
            <w:tcW w:type="dxa" w:w="155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4"/>
              </w:rPr>
              <w:t>Identidade visual</w:t>
            </w:r>
          </w:p>
        </w:tc>
        <w:tc>
          <w:tcPr>
            <w:tcW w:type="dxa" w:w="16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4"/>
              </w:rPr>
              <w:t>Gemini - geração de imagem</w:t>
            </w:r>
          </w:p>
        </w:tc>
        <w:tc>
          <w:tcPr>
            <w:tcW w:type="dxa" w:w="28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4"/>
              </w:rPr>
              <w:t>Apoio na criação do símbolo visual da Harpia usado na apresentação do robô.</w:t>
            </w:r>
          </w:p>
        </w:tc>
        <w:tc>
          <w:tcPr>
            <w:tcW w:type="dxa" w:w="255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4"/>
              </w:rPr>
              <w:t>A equipe definiu o conceito, selecionou a versão e decidiu sua aplicação no relatório.</w:t>
            </w:r>
          </w:p>
        </w:tc>
      </w:tr>
      <w:tr>
        <w:trPr>
          <w:cantSplit/>
        </w:trPr>
        <w:tc>
          <w:tcPr>
            <w:tcW w:type="dxa" w:w="155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4"/>
              </w:rPr>
              <w:t>Sentimento de notícias</w:t>
            </w:r>
          </w:p>
        </w:tc>
        <w:tc>
          <w:tcPr>
            <w:tcW w:type="dxa" w:w="16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4"/>
              </w:rPr>
              <w:t>LLM / roadmap</w:t>
            </w:r>
          </w:p>
        </w:tc>
        <w:tc>
          <w:tcPr>
            <w:tcW w:type="dxa" w:w="28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4"/>
              </w:rPr>
              <w:t>Previsto como insumo para o ScoreNews e posterior geração de views.</w:t>
            </w:r>
          </w:p>
        </w:tc>
        <w:tc>
          <w:tcPr>
            <w:tcW w:type="dxa" w:w="255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4"/>
              </w:rPr>
              <w:t>Ainda não é apresentado como sinal de produção validado por backtest.</w:t>
            </w:r>
          </w:p>
        </w:tc>
      </w:tr>
    </w:tbl>
    <w:p>
      <w:pPr>
        <w:pageBreakBefore w:val="0"/>
        <w:spacing w:after="0" w:before="0" w:line="19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507A58"/>
          <w:left w:val="single" w:sz="6" w:space="0" w:color="507A58"/>
          <w:bottom w:val="single" w:sz="6" w:space="0" w:color="507A58"/>
          <w:right w:val="single" w:sz="6" w:space="0" w:color="507A58"/>
          <w:insideH w:val="single" w:sz="6" w:space="0" w:color="507A58"/>
          <w:insideV w:val="single" w:sz="6" w:space="0" w:color="507A58"/>
        </w:tblBorders>
      </w:tblPr>
      <w:tblGrid>
        <w:gridCol w:w="10426"/>
      </w:tblGrid>
      <w:tr>
        <w:trPr>
          <w:cantSplit/>
        </w:trPr>
        <w:tc>
          <w:tcPr>
            <w:tcW w:type="dxa" w:w="10426"/>
            <w:shd w:fill="EAF4EC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b/>
                <w:i w:val="0"/>
                <w:color w:val="507A58"/>
                <w:sz w:val="17"/>
              </w:rPr>
              <w:t xml:space="preserve">Princípio de governança. </w:t>
            </w:r>
            <w:r>
              <w:rPr>
                <w:rFonts w:ascii="Calibri" w:hAnsi="Calibri"/>
                <w:b w:val="0"/>
                <w:i w:val="0"/>
                <w:color w:val="242C35"/>
                <w:sz w:val="17"/>
              </w:rPr>
              <w:t>IA pode resumir, explicar e apoiar a pesquisa; regras de risco, dados de performance e pesos finais precisam permanecer reproduzíveis por lógica quantitativa ou determinística.</w:t>
            </w:r>
          </w:p>
        </w:tc>
      </w:tr>
    </w:tbl>
    <w:p>
      <w:pPr>
        <w:pageBreakBefore w:val="0"/>
        <w:spacing w:after="0" w:before="0" w:line="192" w:lineRule="auto"/>
      </w:pPr>
    </w:p>
    <w:p>
      <w:pPr>
        <w:spacing w:before="160" w:after="90"/>
        <w:keepNext/>
        <w:pageBreakBefore/>
        <w:pBdr>
          <w:bottom w:val="single" w:sz="8" w:space="3" w:color="B68A3A"/>
        </w:pBdr>
      </w:pPr>
      <w:r>
        <w:rPr>
          <w:rFonts w:ascii="Calibri" w:hAnsi="Calibri"/>
          <w:b/>
          <w:color w:val="192A49"/>
          <w:sz w:val="24"/>
        </w:rPr>
        <w:t>10. Apresentação do Robô - Nome e Identidade</w:t>
      </w:r>
    </w:p>
    <w:p>
      <w:pPr>
        <w:pageBreakBefore w:val="0"/>
        <w:spacing w:before="0" w:after="100" w:line="257" w:lineRule="auto"/>
      </w:pPr>
      <w:r>
        <w:rPr>
          <w:rFonts w:ascii="Calibri" w:hAnsi="Calibri"/>
          <w:b/>
          <w:i w:val="0"/>
          <w:color w:val="192A49"/>
          <w:sz w:val="19"/>
        </w:rPr>
        <w:t>Harpia</w:t>
      </w:r>
      <w:r>
        <w:rPr>
          <w:rFonts w:ascii="Calibri" w:hAnsi="Calibri"/>
          <w:b w:val="0"/>
          <w:i w:val="0"/>
          <w:color w:val="242C35"/>
          <w:sz w:val="19"/>
        </w:rPr>
        <w:t xml:space="preserve"> é o nome do robô. A águia-harpia foi escolhida porque resume duas ideias da estratégia: visão ampla para acompanhar fontes diferentes de informação e precisão para transformar convicção em execução. A identidade visual foi pensada para comunicar robustez e disciplina, sem referência a universidade ou liga. O selo "Harpy Capital - Est. 2026" é apenas parte da identidade do protótipo; não representa uma instituição financeira, fundo registrado ou histórico real de gestão.</w:t>
      </w:r>
    </w:p>
    <w:p>
      <w:pPr>
        <w:pageBreakBefore w:val="0"/>
        <w:spacing w:before="0" w:after="0" w:line="19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508760" cy="1508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mini_Generated_Image_dmko32dmko32dmko.jfif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150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arpiaCaption"/>
        <w:pageBreakBefore w:val="0"/>
        <w:jc w:val="center"/>
      </w:pPr>
      <w:r>
        <w:t>Figura 2 - Identidade visual do robô Harpia.</w:t>
      </w:r>
    </w:p>
    <w:p>
      <w:pPr>
        <w:pageBreakBefore w:val="0"/>
        <w:spacing w:before="0" w:after="0" w:line="192" w:lineRule="auto"/>
      </w:pPr>
      <w:r/>
    </w:p>
    <w:p>
      <w:pPr>
        <w:spacing w:before="160" w:after="90"/>
        <w:keepNext/>
        <w:pageBreakBefore w:val="0"/>
        <w:pBdr>
          <w:bottom w:val="single" w:sz="8" w:space="3" w:color="B68A3A"/>
        </w:pBdr>
      </w:pPr>
      <w:r>
        <w:rPr>
          <w:rFonts w:ascii="Calibri" w:hAnsi="Calibri"/>
          <w:b/>
          <w:color w:val="192A49"/>
          <w:sz w:val="24"/>
        </w:rPr>
        <w:t>11. Conclusão e Próximos Passos</w:t>
      </w:r>
    </w:p>
    <w:p>
      <w:pPr>
        <w:pageBreakBefore w:val="0"/>
        <w:spacing w:before="0" w:after="100" w:line="257" w:lineRule="auto"/>
      </w:pPr>
      <w:r>
        <w:rPr>
          <w:rFonts w:ascii="Calibri" w:hAnsi="Calibri"/>
          <w:b w:val="0"/>
          <w:i w:val="0"/>
          <w:color w:val="242C35"/>
          <w:sz w:val="19"/>
        </w:rPr>
        <w:t>A principal contribuição da Harpia é a forma como organiza o processo de decisão. Em vez de confiar em um único modelo, ela separa geração de sinal, formação de convicção, alocação, execução e risco. O protótipo já torna essa filosofia observável em componentes concretos: contrato de scoring, ensemble por regime, execução sensível à liquidez, hard limits, EWS, stress tests, Monte Carlo e integração de IA para síntese de risco.</w:t>
      </w:r>
    </w:p>
    <w:p>
      <w:pPr>
        <w:pageBreakBefore w:val="0"/>
        <w:spacing w:before="0" w:after="100" w:line="257" w:lineRule="auto"/>
      </w:pPr>
      <w:r>
        <w:rPr>
          <w:rFonts w:ascii="Calibri" w:hAnsi="Calibri"/>
          <w:b/>
          <w:i w:val="0"/>
          <w:color w:val="242C35"/>
          <w:sz w:val="19"/>
        </w:rPr>
        <w:t xml:space="preserve">O próximo salto de qualidade não é adicionar mais complexidade; é fechar o ciclo de evidência. </w:t>
      </w:r>
      <w:r>
        <w:rPr>
          <w:rFonts w:ascii="Calibri" w:hAnsi="Calibri"/>
          <w:b w:val="0"/>
          <w:i w:val="0"/>
          <w:color w:val="242C35"/>
          <w:sz w:val="19"/>
        </w:rPr>
        <w:t>A estratégia deve ser julgada por métricas de performance somente depois que o pipeline estiver conectado a dados históricos, com custos, validação temporal e logs reprodutíveis.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EC5CF"/>
          <w:left w:val="single" w:sz="4" w:space="0" w:color="BEC5CF"/>
          <w:bottom w:val="single" w:sz="4" w:space="0" w:color="BEC5CF"/>
          <w:right w:val="single" w:sz="4" w:space="0" w:color="BEC5CF"/>
          <w:insideH w:val="single" w:sz="4" w:space="0" w:color="BEC5CF"/>
          <w:insideV w:val="single" w:sz="4" w:space="0" w:color="BEC5CF"/>
        </w:tblBorders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900"/>
            <w:shd w:fill="192A49"/>
            <w:tcMar>
              <w:top w:w="62" w:type="dxa"/>
              <w:start w:w="62" w:type="dxa"/>
              <w:bottom w:w="62" w:type="dxa"/>
              <w:end w:w="62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Prioridade</w:t>
            </w:r>
          </w:p>
        </w:tc>
        <w:tc>
          <w:tcPr>
            <w:tcW w:type="dxa" w:w="2500"/>
            <w:shd w:fill="192A49"/>
            <w:tcMar>
              <w:top w:w="62" w:type="dxa"/>
              <w:start w:w="62" w:type="dxa"/>
              <w:bottom w:w="62" w:type="dxa"/>
              <w:end w:w="62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Próximo passo</w:t>
            </w:r>
          </w:p>
        </w:tc>
        <w:tc>
          <w:tcPr>
            <w:tcW w:type="dxa" w:w="4500"/>
            <w:shd w:fill="192A49"/>
            <w:tcMar>
              <w:top w:w="62" w:type="dxa"/>
              <w:start w:w="62" w:type="dxa"/>
              <w:bottom w:w="62" w:type="dxa"/>
              <w:end w:w="62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9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1</w:t>
            </w:r>
          </w:p>
        </w:tc>
        <w:tc>
          <w:tcPr>
            <w:tcW w:type="dxa" w:w="25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Executar o backtest histórico integrado</w:t>
            </w:r>
          </w:p>
        </w:tc>
        <w:tc>
          <w:tcPr>
            <w:tcW w:type="dxa" w:w="45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Conectar sinais, views, BL/HRP, execução e custos em uma curva diária de NAV e medir o desempenho out-of-sample.</w:t>
            </w:r>
          </w:p>
        </w:tc>
      </w:tr>
      <w:tr>
        <w:trPr>
          <w:cantSplit/>
        </w:trPr>
        <w:tc>
          <w:tcPr>
            <w:tcW w:type="dxa" w:w="9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2</w:t>
            </w:r>
          </w:p>
        </w:tc>
        <w:tc>
          <w:tcPr>
            <w:tcW w:type="dxa" w:w="25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Completar as camadas de sinal</w:t>
            </w:r>
          </w:p>
        </w:tc>
        <w:tc>
          <w:tcPr>
            <w:tcW w:type="dxa" w:w="45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Evoluir ScoreMicro e ScoreCredit, tornar ScoreMacro/ScoreNews data-driven e treinar um detector de regime.</w:t>
            </w:r>
          </w:p>
        </w:tc>
      </w:tr>
      <w:tr>
        <w:trPr>
          <w:cantSplit/>
        </w:trPr>
        <w:tc>
          <w:tcPr>
            <w:tcW w:type="dxa" w:w="9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3</w:t>
            </w:r>
          </w:p>
        </w:tc>
        <w:tc>
          <w:tcPr>
            <w:tcW w:type="dxa" w:w="25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Refinar o risco estatístico</w:t>
            </w:r>
          </w:p>
        </w:tc>
        <w:tc>
          <w:tcPr>
            <w:tcW w:type="dxa" w:w="4500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Substituir o fator fixo de correlação do Monte Carlo por covariância empírica e recalibrar limites por janela.</w:t>
            </w:r>
          </w:p>
        </w:tc>
      </w:tr>
      <w:tr>
        <w:trPr>
          <w:cantSplit/>
        </w:trPr>
        <w:tc>
          <w:tcPr>
            <w:tcW w:type="dxa" w:w="9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4</w:t>
            </w:r>
          </w:p>
        </w:tc>
        <w:tc>
          <w:tcPr>
            <w:tcW w:type="dxa" w:w="25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Preservar rastreabilidade</w:t>
            </w:r>
          </w:p>
        </w:tc>
        <w:tc>
          <w:tcPr>
            <w:tcW w:type="dxa" w:w="4500"/>
            <w:shd w:fill="F8F8F9"/>
            <w:tcMar>
              <w:top w:w="52" w:type="dxa"/>
              <w:start w:w="58" w:type="dxa"/>
              <w:bottom w:w="52" w:type="dxa"/>
              <w:end w:w="5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42C35"/>
                <w:sz w:val="15"/>
              </w:rPr>
              <w:t>Versionar dados, parâmetros e resultados; manter stress de cobertura integral e separar de forma explícita mockup de evidência quantitativa.</w:t>
            </w:r>
          </w:p>
        </w:tc>
      </w:tr>
    </w:tbl>
    <w:p>
      <w:pPr>
        <w:pageBreakBefore w:val="0"/>
        <w:spacing w:after="0" w:before="0" w:line="192" w:lineRule="auto"/>
      </w:pPr>
    </w:p>
    <w:p>
      <w:pPr>
        <w:pageBreakBefore w:val="0"/>
        <w:spacing w:before="110" w:after="50"/>
        <w:keepNext w:val="1"/>
      </w:pPr>
      <w:r>
        <w:rPr>
          <w:rFonts w:ascii="Calibri" w:hAnsi="Calibri"/>
          <w:b/>
          <w:color w:val="192A49"/>
          <w:sz w:val="19"/>
        </w:rPr>
        <w:t>Nota de integridade dos dados</w:t>
      </w:r>
    </w:p>
    <w:p>
      <w:pPr>
        <w:pageBreakBefore w:val="0"/>
        <w:spacing w:before="0" w:after="100" w:line="257" w:lineRule="auto"/>
      </w:pPr>
      <w:r>
        <w:rPr>
          <w:rFonts w:ascii="Calibri" w:hAnsi="Calibri"/>
          <w:b w:val="0"/>
          <w:i w:val="0"/>
          <w:color w:val="242C35"/>
          <w:sz w:val="18"/>
        </w:rPr>
        <w:t>Os números deste relatório vêm do snapshot determinístico e de cálculos diretamente derivados de parâmetros rastreáveis no protótipo. Dados institucionais fictícios e métricas de performance inseridas apenas para demonstração de interface foram excluídos. Essa escolha reduz o número de métricas exibidas, mas aumenta a qualidade da evidência apresentada.</w:t>
      </w:r>
    </w:p>
    <w:p>
      <w:pPr>
        <w:pageBreakBefore w:val="0"/>
        <w:spacing w:before="110" w:after="50"/>
        <w:keepNext w:val="1"/>
      </w:pPr>
      <w:r>
        <w:rPr>
          <w:rFonts w:ascii="Calibri" w:hAnsi="Calibri"/>
          <w:b/>
          <w:color w:val="192A49"/>
          <w:sz w:val="19"/>
        </w:rPr>
        <w:t>Referências conceituais usadas na arquitetura</w:t>
      </w:r>
    </w:p>
    <w:p>
      <w:pPr>
        <w:pageBreakBefore w:val="0"/>
        <w:spacing w:before="0" w:after="100" w:line="257" w:lineRule="auto"/>
      </w:pPr>
      <w:r>
        <w:rPr>
          <w:rFonts w:ascii="Calibri" w:hAnsi="Calibri"/>
          <w:b w:val="0"/>
          <w:i/>
          <w:color w:val="5C6673"/>
          <w:sz w:val="16"/>
        </w:rPr>
        <w:t>Black-Litterman (He &amp; Litterman, 1999) e Hierarchical Risk Parity - HRP (López de Prado), conforme a documentação técnica já adotada no projeto.</w:t>
      </w:r>
    </w:p>
    <w:p>
      <w:pPr>
        <w:pageBreakBefore w:val="0"/>
        <w:spacing w:before="200" w:after="0"/>
        <w:jc w:val="center"/>
      </w:pPr>
      <w:r>
        <w:rPr>
          <w:rFonts w:ascii="Calibri" w:hAnsi="Calibri"/>
          <w:b/>
          <w:color w:val="B68A3A"/>
          <w:sz w:val="16"/>
        </w:rPr>
        <w:t>HARPIA  |  convicção com disciplina, alocação com diversificação, risco com rastreabilidade</w:t>
      </w:r>
    </w:p>
    <w:sectPr>
      <w:headerReference w:type="default" r:id="rId9"/>
      <w:footerReference w:type="default" r:id="rId10"/>
      <w:pgSz w:w="12240" w:h="15840"/>
      <w:pgMar w:top="720" w:right="907" w:bottom="720" w:left="907" w:header="302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148"/>
      <w:gridCol w:w="5148"/>
    </w:tblGrid>
    <w:tr>
      <w:tc>
        <w:tcPr>
          <w:tcW w:type="dxa" w:w="5148"/>
        </w:tcPr>
        <w:p>
          <w:pPr>
            <w:spacing w:after="0"/>
          </w:pPr>
          <w:r>
            <w:rPr>
              <w:rFonts w:ascii="Calibri" w:hAnsi="Calibri"/>
              <w:b w:val="0"/>
              <w:i w:val="0"/>
              <w:color w:val="5C6673"/>
              <w:sz w:val="14"/>
            </w:rPr>
            <w:t>Relatório técnico | avaliação anônima</w:t>
          </w:r>
        </w:p>
      </w:tc>
      <w:tc>
        <w:tcPr>
          <w:tcW w:type="dxa" w:w="5148"/>
        </w:tcPr>
        <w:p>
          <w:pPr>
            <w:spacing w:after="0"/>
            <w:jc w:val="right"/>
          </w:pPr>
          <w:r>
            <w:rPr>
              <w:rFonts w:ascii="Calibri" w:hAnsi="Calibri"/>
              <w:color w:val="5C6673"/>
              <w:sz w:val="15"/>
            </w:rPr>
            <w:t xml:space="preserve">p. </w:t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i w:val="0"/>
        <w:color w:val="192A49"/>
        <w:sz w:val="15"/>
      </w:rPr>
      <w:t>DESAFIO QUANT AI 2026  |  HARPIA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7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arpiaCaption">
    <w:name w:val="Harpia Caption"/>
    <w:pPr>
      <w:spacing w:before="20" w:after="80"/>
    </w:pPr>
    <w:rPr>
      <w:rFonts w:ascii="Calibri" w:hAnsi="Calibri"/>
      <w:i/>
      <w:color w:val="5C6673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Harpia - Relatório Final - Desafio Quant AI 2026</dc:title>
  <dc:subject>Estratégia quantitativa multimercado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