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6633C" w:rsidR="00A6633C" w:rsidP="00A6633C" w:rsidRDefault="00A6633C" w14:paraId="4586B2F1" w14:textId="6E88D7EE">
      <w:pPr>
        <w:ind w:firstLine="708"/>
        <w:jc w:val="both"/>
        <w:rPr>
          <w:sz w:val="22"/>
          <w:szCs w:val="22"/>
        </w:rPr>
      </w:pPr>
      <w:r w:rsidRPr="00A6633C">
        <w:rPr>
          <w:sz w:val="22"/>
          <w:szCs w:val="22"/>
        </w:rPr>
        <w:t>O problema habitacional brasileiro não pode ser entendido apenas como falta de unidades, mas como dificuldade estrutural de acesso à moradia adequada por parte das famílias de baixa renda. Em 2022, o déficit habitacional do país somou 6.215.313 domicílios, e 74,5% desse total estava concentrado em domicílios com renda de até dois salários-mínimos. Além disso, o principal componente do déficit foi o ônus excessivo com aluguel urbano, responsável por 3.242.780 domicílios, ou 52,2% do total. Esses dados mostram que, para grande parte da população, o obstáculo decisivo não é somente conseguir pagar a prestação mensal, mas reunir a poupança inicial exigida para entrar no financiamento habitacional. É nesse ponto que ganham relevância os programas de subsídio à entrada, que procuram atacar diretamente o gargalo de acesso à casa própria.</w:t>
      </w:r>
    </w:p>
    <w:p w:rsidRPr="00A6633C" w:rsidR="00A6633C" w:rsidP="100D4DE9" w:rsidRDefault="4C897EE7" w14:paraId="13EF8B35" w14:textId="622D34D6">
      <w:pPr>
        <w:pStyle w:val="Normal"/>
        <w:rPr>
          <w:sz w:val="22"/>
          <w:szCs w:val="22"/>
        </w:rPr>
      </w:pPr>
      <w:r w:rsidRPr="100D4DE9" w:rsidR="100D4DE9">
        <w:rPr>
          <w:sz w:val="22"/>
          <w:szCs w:val="22"/>
        </w:rPr>
        <w:t>Partindo de um mapeamento preliminar, destacam-se os projetos Morar Bem (PE), Casa Fácil (PR) e Entrada Moradia (CE) como experiências centrais dessa agenda, dá-se a pergunta de pesquisa deste estudo</w:t>
      </w:r>
      <w:r w:rsidRPr="100D4DE9" w:rsidR="100D4DE9">
        <w:rPr>
          <w:sz w:val="22"/>
          <w:szCs w:val="22"/>
        </w:rPr>
        <w:t xml:space="preserve">: </w:t>
      </w:r>
      <w:r w:rsidRPr="100D4DE9" w:rsidR="100D4DE9">
        <w:rPr>
          <w:sz w:val="22"/>
          <w:szCs w:val="22"/>
        </w:rPr>
        <w:t>C</w:t>
      </w:r>
      <w:r w:rsidRPr="100D4DE9" w:rsidR="100D4DE9">
        <w:rPr>
          <w:sz w:val="22"/>
          <w:szCs w:val="22"/>
        </w:rPr>
        <w:t>omo tem sido o desempenho de programas estaduais de subsídio à entrada de imóveis em diferentes contextos federativos e quais características de desenho institucional ajudam a potencializar seus resultados? A comparação é relevante porque os três programas atuam sobre o mesmo problema econômico</w:t>
      </w:r>
      <w:r w:rsidRPr="100D4DE9" w:rsidR="100D4DE9">
        <w:rPr>
          <w:sz w:val="22"/>
          <w:szCs w:val="22"/>
        </w:rPr>
        <w:t>,</w:t>
      </w:r>
      <w:r w:rsidRPr="100D4DE9" w:rsidR="100D4DE9">
        <w:rPr>
          <w:sz w:val="22"/>
          <w:szCs w:val="22"/>
        </w:rPr>
        <w:t xml:space="preserve"> a incapacidade das famílias de baixa renda de arcar com o valor da entrada</w:t>
      </w:r>
      <w:r w:rsidRPr="100D4DE9" w:rsidR="100D4DE9">
        <w:rPr>
          <w:sz w:val="22"/>
          <w:szCs w:val="22"/>
        </w:rPr>
        <w:t>,</w:t>
      </w:r>
      <w:r w:rsidRPr="100D4DE9" w:rsidR="100D4DE9">
        <w:rPr>
          <w:sz w:val="22"/>
          <w:szCs w:val="22"/>
        </w:rPr>
        <w:t xml:space="preserve"> mas o fazem com escalas, públicos-alvo e mecanismos operacionais distintos. Em Pernambuco, o Morar Bem PE – Entrada Garantida é voltado a famílias com renda</w:t>
      </w:r>
      <w:r w:rsidRPr="100D4DE9" w:rsidR="100D4DE9">
        <w:rPr>
          <w:sz w:val="22"/>
          <w:szCs w:val="22"/>
        </w:rPr>
        <w:t xml:space="preserve"> a </w:t>
      </w:r>
      <w:r w:rsidR="100D4DE9">
        <w:rPr/>
        <w:t>de</w:t>
      </w:r>
      <w:r w:rsidRPr="100D4DE9" w:rsidR="100D4DE9">
        <w:rPr>
          <w:sz w:val="22"/>
          <w:szCs w:val="22"/>
        </w:rPr>
        <w:t xml:space="preserve"> até dois salários-mínimos; no Paraná, o Casa Fácil concede subsídio de R$ 20 mil para famílias com renda de até quatro salários-mínimos; e, no Ceará, o Entrada Moradia atende famílias com renda mensal de até R$ 4.400 no âmbito das faixas 1 e 2 do Minha Casa, Minha Vida.</w:t>
      </w:r>
    </w:p>
    <w:p w:rsidRPr="00A6633C" w:rsidR="00A6633C" w:rsidP="00A6633C" w:rsidRDefault="00A6633C" w14:paraId="5750D275" w14:textId="17D811A7">
      <w:pPr>
        <w:jc w:val="both"/>
        <w:rPr>
          <w:sz w:val="22"/>
          <w:szCs w:val="22"/>
        </w:rPr>
      </w:pPr>
      <w:r w:rsidRPr="00A6633C">
        <w:rPr>
          <w:sz w:val="22"/>
          <w:szCs w:val="22"/>
        </w:rPr>
        <w:tab/>
      </w:r>
      <w:r w:rsidRPr="00A6633C">
        <w:rPr>
          <w:sz w:val="22"/>
          <w:szCs w:val="22"/>
        </w:rPr>
        <w:t xml:space="preserve">Os dados oficiais mais recentes sugerem que esses programas vêm produzindo resultados relevantes, ainda que não perfeitamente comparáveis, já que têm tempos de maturação diferentes. No Paraná, o Casa Fácil já havia alcançado quase 88 mil famílias na modalidade de valor de entrada até julho de 2025, com mais de R$ 1 bilhão em aportes estaduais e efeito econômico superior a R$ 20 bilhões na construção civil. Em Pernambuco, o Morar Bem já beneficiava mais de 20 mil famílias em fevereiro de 2026, com mais de oito mil imóveis disponíveis no portal do programa; segundo a CEHAB, o volume anual de financiamentos para esse público no estado saltou de R$ 2 bilhões para R$ 8 bilhões em apenas três anos. </w:t>
      </w:r>
      <w:r w:rsidR="000A2874">
        <w:rPr>
          <w:sz w:val="22"/>
          <w:szCs w:val="22"/>
        </w:rPr>
        <w:t>Enquanto isso, n</w:t>
      </w:r>
      <w:r w:rsidRPr="00A6633C">
        <w:rPr>
          <w:sz w:val="22"/>
          <w:szCs w:val="22"/>
        </w:rPr>
        <w:t xml:space="preserve">o Ceará, o Entrada Moradia, lançado em junho de 2024, alcançou 7.900 contratos assinados até janeiro de 2026, com investimento estadual de R$ 158 milhões e meta de atendimento de 10 mil famílias, totalizando R$ 200 milhões. Esses resultados indicam que o subsídio à entrada pode funcionar não apenas como política social, mas também </w:t>
      </w:r>
      <w:r w:rsidR="000A2874">
        <w:rPr>
          <w:sz w:val="22"/>
          <w:szCs w:val="22"/>
        </w:rPr>
        <w:t xml:space="preserve">para otimizar o </w:t>
      </w:r>
      <w:r w:rsidRPr="00A6633C">
        <w:rPr>
          <w:sz w:val="22"/>
          <w:szCs w:val="22"/>
        </w:rPr>
        <w:t>mercado em segmentos nos quais a demanda existe, mas não consegue se converter em contrato por falta de capital inicial.</w:t>
      </w:r>
    </w:p>
    <w:p w:rsidRPr="00A6633C" w:rsidR="00A6633C" w:rsidP="5BBC1896" w:rsidRDefault="00A6633C" w14:paraId="5B6BB3A5" w14:textId="6E242FA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 w:firstLine="708"/>
        <w:jc w:val="both"/>
        <w:rPr>
          <w:sz w:val="22"/>
          <w:szCs w:val="22"/>
        </w:rPr>
      </w:pPr>
      <w:r w:rsidRPr="5BBC1896" w:rsidR="5BBC1896">
        <w:rPr>
          <w:sz w:val="22"/>
          <w:szCs w:val="22"/>
        </w:rPr>
        <w:t xml:space="preserve">A relevância e a motivação deste estudo, portanto, estão em avaliar se políticas desse tipo conseguem reduzir um dos núcleos mais persistentes do problema habitacional brasileiro: a distância entre a capacidade de pagar prestações e a impossibilidade de acessar o financiamento. Estudar programas que ataquem esse gargalo é relevante, portanto, não só para medir desempenho, mas para identificar quais arranjos institucionais conseguem transformar o cheque-habitação em instrumento efetivo de ampliação do acesso à moradia digna no Brasil. Dessa forma, é esperado que possamos identificar, observando as </w:t>
      </w:r>
      <w:bookmarkStart w:name="_Int_MANy4MmM" w:id="27173491"/>
      <w:r w:rsidRPr="5BBC1896" w:rsidR="5BBC1896">
        <w:rPr>
          <w:sz w:val="22"/>
          <w:szCs w:val="22"/>
        </w:rPr>
        <w:t>idiossincrasias</w:t>
      </w:r>
      <w:bookmarkEnd w:id="27173491"/>
      <w:r w:rsidRPr="5BBC1896" w:rsidR="5BBC1896">
        <w:rPr>
          <w:sz w:val="22"/>
          <w:szCs w:val="22"/>
        </w:rPr>
        <w:t xml:space="preserve"> do território carioca, as adequações necessárias para viabilizar a implementação de tal política no Estado do Rio de Janeiro.</w:t>
      </w:r>
    </w:p>
    <w:p w:rsidR="5BBC1896" w:rsidP="5BBC1896" w:rsidRDefault="5BBC1896" w14:paraId="432EB43D" w14:textId="36A9CF9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 w:firstLine="708"/>
        <w:jc w:val="both"/>
        <w:rPr>
          <w:sz w:val="22"/>
          <w:szCs w:val="22"/>
        </w:rPr>
      </w:pPr>
    </w:p>
    <w:p w:rsidRPr="00A6633C" w:rsidR="00A6633C" w:rsidP="100D4DE9" w:rsidRDefault="00A6633C" w14:paraId="754E8C75" w14:textId="1696E93A">
      <w:pPr>
        <w:spacing w:before="0" w:beforeAutospacing="off" w:after="240" w:afterAutospacing="off"/>
        <w:ind w:firstLine="708"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A estratégia metodológica priorizará a 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Análise de Eficiência Operacional e Alocativa:</w:t>
      </w:r>
    </w:p>
    <w:p w:rsidRPr="00A6633C" w:rsidR="00A6633C" w:rsidP="100D4DE9" w:rsidRDefault="00A6633C" w14:paraId="08CDCBD3" w14:textId="29A903DE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Mensuração da Eficiência Operacional: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Análise da razão entre o custo total do programa e o número de contratos efetivados. Isso inclui não apenas o subsídio dir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et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o (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ex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: R$ 20 mil), mas o 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custo administrativo total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(gastos com pessoal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das 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C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EHABs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, sistemas de TI co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mo o 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SisRe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forma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e infraestrutura operacional).</w:t>
      </w:r>
    </w:p>
    <w:p w:rsidRPr="00A6633C" w:rsidR="00A6633C" w:rsidP="100D4DE9" w:rsidRDefault="00A6633C" w14:paraId="3A496B28" w14:textId="4D10CFAB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</w:p>
    <w:p w:rsidRPr="00A6633C" w:rsidR="00A6633C" w:rsidP="100D4DE9" w:rsidRDefault="00A6633C" w14:paraId="78268C17" w14:textId="34FCF5E3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Capacidade de Redução do Déficit (Ônus Excessivo com Aluguel):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Utilizando os microdados da 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Fundação João Pinheiro (FJP)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, será analisado como os programas ataca o componente de ônus Excessivo com aluguel. Avaliaremos se a conversão do aluguel em prestação de financiamento (viabilizada pelo subsídio à entrada) é matematicamente sustentável para esse público.</w:t>
      </w:r>
    </w:p>
    <w:p w:rsidRPr="00A6633C" w:rsidR="00A6633C" w:rsidP="100D4DE9" w:rsidRDefault="00A6633C" w14:paraId="1E6D4600" w14:textId="7E6BD028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</w:p>
    <w:p w:rsidRPr="00A6633C" w:rsidR="00A6633C" w:rsidP="100D4DE9" w:rsidRDefault="00A6633C" w14:paraId="735F86F2" w14:textId="5F40E837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Avaliação do Efeito Multiplicador na Indústria Local: Aplicação de análise econômica para verificar o fomento à construção civil. Com base no exemplo do Paraná (R$ 1 bilhão em aportes gerando R$ 20 bilhões em valor de mercado.</w:t>
      </w:r>
    </w:p>
    <w:p w:rsidRPr="00A6633C" w:rsidR="00A6633C" w:rsidP="100D4DE9" w:rsidRDefault="00A6633C" w14:paraId="635FE8BF" w14:textId="7EB3AEA6">
      <w:pPr>
        <w:ind/>
        <w:jc w:val="both"/>
      </w:pPr>
    </w:p>
    <w:p w:rsidRPr="00A6633C" w:rsidR="00A6633C" w:rsidP="100D4DE9" w:rsidRDefault="00A6633C" w14:paraId="7AE0248A" w14:textId="6004FDF3">
      <w:pPr>
        <w:pStyle w:val="Heading3"/>
        <w:spacing w:before="0" w:beforeAutospacing="off" w:after="281" w:afterAutospacing="off"/>
        <w:ind/>
        <w:jc w:val="both"/>
      </w:pPr>
      <w:r w:rsidRPr="100D4DE9" w:rsidR="100D4DE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Fontes de Dados</w:t>
      </w:r>
    </w:p>
    <w:p w:rsidRPr="00A6633C" w:rsidR="00A6633C" w:rsidP="100D4DE9" w:rsidRDefault="00A6633C" w14:paraId="38138D5B" w14:textId="18BF0DE3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100D4DE9" w:rsidR="100D4DE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Portais de Transparência Estaduais:</w:t>
      </w:r>
      <w:r w:rsidRPr="100D4DE9" w:rsidR="100D4DE9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Levantamento de gastos com subsídios e despesas administrativas/pessoal.</w:t>
      </w:r>
    </w:p>
    <w:p w:rsidRPr="00A6633C" w:rsidR="00A6633C" w:rsidP="100D4DE9" w:rsidRDefault="00A6633C" w14:paraId="3B9B7FFF" w14:textId="70C88177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100D4DE9" w:rsidR="100D4DE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Base FJP e PNAD:</w:t>
      </w:r>
      <w:r w:rsidRPr="100D4DE9" w:rsidR="100D4DE9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Identificação do déficit habitacional, com foco no componente de ônus excessivo com aluguel urbano por faixa de renda.</w:t>
      </w:r>
    </w:p>
    <w:p w:rsidRPr="00A6633C" w:rsidR="00A6633C" w:rsidP="100D4DE9" w:rsidRDefault="00A6633C" w14:paraId="356FFF28" w14:textId="47FA44BB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100D4DE9" w:rsidR="100D4DE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Novo CAGED (MTE):</w:t>
      </w:r>
      <w:r w:rsidRPr="100D4DE9" w:rsidR="100D4DE9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Monitoramento do saldo de empregos na construção civil para mensurar o fomento e o efeito multiplicador na indústria local.</w:t>
      </w:r>
    </w:p>
    <w:p w:rsidRPr="00A6633C" w:rsidR="00A6633C" w:rsidP="100D4DE9" w:rsidRDefault="00A6633C" w14:paraId="39ED77B6" w14:textId="62F39332">
      <w:pPr>
        <w:ind w:firstLine="708"/>
        <w:jc w:val="both"/>
        <w:rPr>
          <w:sz w:val="22"/>
          <w:szCs w:val="22"/>
        </w:rPr>
      </w:pPr>
    </w:p>
    <w:p w:rsidRPr="00A6633C" w:rsidR="00A6633C" w:rsidP="000A2874" w:rsidRDefault="00A6633C" w14:paraId="567020A8" w14:textId="7A6549E1">
      <w:pPr>
        <w:ind w:firstLine="708"/>
        <w:jc w:val="both"/>
        <w:rPr>
          <w:sz w:val="22"/>
          <w:szCs w:val="22"/>
        </w:rPr>
      </w:pPr>
      <w:r w:rsidRPr="100D4DE9">
        <w:rPr>
          <w:sz w:val="22"/>
          <w:szCs w:val="22"/>
        </w:rPr>
        <w:br w:type="page"/>
      </w:r>
    </w:p>
    <w:p w:rsidRPr="00A6633C" w:rsidR="00A6633C" w:rsidP="00A6633C" w:rsidRDefault="00A6633C" w14:paraId="36AC83B5" w14:textId="37B2359B">
      <w:pPr>
        <w:jc w:val="both"/>
        <w:rPr>
          <w:sz w:val="22"/>
          <w:szCs w:val="22"/>
        </w:rPr>
      </w:pPr>
      <w:hyperlink w:history="1" r:id="rId8">
        <w:r w:rsidRPr="00A6633C">
          <w:rPr>
            <w:rStyle w:val="Hyperlink"/>
            <w:sz w:val="22"/>
            <w:szCs w:val="22"/>
          </w:rPr>
          <w:t>https://fjp.mg.gov.br/brasil-registra-deficit-habitacional-de-6-milhoes-de-domicilios/</w:t>
        </w:r>
      </w:hyperlink>
    </w:p>
    <w:p w:rsidRPr="00A6633C" w:rsidR="00A6633C" w:rsidP="00A6633C" w:rsidRDefault="00A6633C" w14:paraId="502FCD60" w14:textId="35D93B6A">
      <w:pPr>
        <w:jc w:val="both"/>
        <w:rPr>
          <w:sz w:val="22"/>
          <w:szCs w:val="22"/>
        </w:rPr>
      </w:pPr>
      <w:hyperlink w:history="1" r:id="rId9">
        <w:r w:rsidRPr="00A6633C">
          <w:rPr>
            <w:rStyle w:val="Hyperlink"/>
            <w:sz w:val="22"/>
            <w:szCs w:val="22"/>
          </w:rPr>
          <w:t>https://seduh.pe.gov.br/programa-morar-bem-pe/</w:t>
        </w:r>
      </w:hyperlink>
    </w:p>
    <w:p w:rsidRPr="00A6633C" w:rsidR="00A6633C" w:rsidP="00A6633C" w:rsidRDefault="00A6633C" w14:paraId="17C33AD9" w14:textId="313C8A8E">
      <w:pPr>
        <w:jc w:val="both"/>
        <w:rPr>
          <w:sz w:val="22"/>
          <w:szCs w:val="22"/>
        </w:rPr>
      </w:pPr>
      <w:hyperlink w:history="1" r:id="rId10">
        <w:r w:rsidRPr="00A6633C">
          <w:rPr>
            <w:rStyle w:val="Hyperlink"/>
            <w:sz w:val="22"/>
            <w:szCs w:val="22"/>
          </w:rPr>
          <w:t>https://www.parana.pr.gov.br/aen/Noticia/Com-116-mil-familias-atendidas-Parana-tem-o-maior-programa-habitacional-do-Brasil</w:t>
        </w:r>
      </w:hyperlink>
    </w:p>
    <w:p w:rsidRPr="00A6633C" w:rsidR="00A6633C" w:rsidP="00A6633C" w:rsidRDefault="00A6633C" w14:paraId="18C2C785" w14:textId="54990C72">
      <w:pPr>
        <w:jc w:val="both"/>
        <w:rPr>
          <w:sz w:val="22"/>
          <w:szCs w:val="22"/>
        </w:rPr>
      </w:pPr>
      <w:hyperlink w:history="1" r:id="rId11">
        <w:r w:rsidRPr="00A6633C">
          <w:rPr>
            <w:rStyle w:val="Hyperlink"/>
            <w:sz w:val="22"/>
            <w:szCs w:val="22"/>
          </w:rPr>
          <w:t>https://www.ceara.gov.br/2024/10/02/entrada-moradia-ceara-mais-de-1-100-cearenses-ja-tem-subsidio-de-r20-mil-aprovado-para-dar-entrada-na-casa-propria/</w:t>
        </w:r>
      </w:hyperlink>
    </w:p>
    <w:p w:rsidRPr="00A6633C" w:rsidR="00A6633C" w:rsidP="00A6633C" w:rsidRDefault="00A6633C" w14:paraId="721BE1DE" w14:textId="77777777">
      <w:pPr>
        <w:jc w:val="both"/>
        <w:rPr>
          <w:sz w:val="22"/>
          <w:szCs w:val="22"/>
        </w:rPr>
      </w:pPr>
    </w:p>
    <w:sectPr w:rsidRPr="00A6633C" w:rsidR="00A6633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ANy4MmM" int2:invalidationBookmarkName="" int2:hashCode="pu9slQ8sHWNlz/" int2:id="o1FoLAaj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1a01e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648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3C"/>
    <w:rsid w:val="00091E7F"/>
    <w:rsid w:val="000A2874"/>
    <w:rsid w:val="001A14DC"/>
    <w:rsid w:val="001F51A9"/>
    <w:rsid w:val="0024644E"/>
    <w:rsid w:val="00334FA5"/>
    <w:rsid w:val="003D73E3"/>
    <w:rsid w:val="00413545"/>
    <w:rsid w:val="0046626C"/>
    <w:rsid w:val="00505017"/>
    <w:rsid w:val="005A7904"/>
    <w:rsid w:val="005D020B"/>
    <w:rsid w:val="00791A44"/>
    <w:rsid w:val="007F28F4"/>
    <w:rsid w:val="00837B36"/>
    <w:rsid w:val="00937A30"/>
    <w:rsid w:val="009B0AAC"/>
    <w:rsid w:val="00A25901"/>
    <w:rsid w:val="00A6633C"/>
    <w:rsid w:val="00AC4B1D"/>
    <w:rsid w:val="00B14460"/>
    <w:rsid w:val="00C023F0"/>
    <w:rsid w:val="00C40F51"/>
    <w:rsid w:val="00D203C1"/>
    <w:rsid w:val="00D35416"/>
    <w:rsid w:val="00E50891"/>
    <w:rsid w:val="00E51E9B"/>
    <w:rsid w:val="100D4DE9"/>
    <w:rsid w:val="48AB636D"/>
    <w:rsid w:val="4C897EE7"/>
    <w:rsid w:val="523E20BD"/>
    <w:rsid w:val="5BBC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B653"/>
  <w15:chartTrackingRefBased/>
  <w15:docId w15:val="{7E17B8CF-D01E-4D1A-9AF7-B355ED438B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A663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663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66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6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66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6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A6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A6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A6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tuloChar1" w:customStyle="1">
    <w:name w:val="Título Char1"/>
    <w:basedOn w:val="DefaultParagraphFont"/>
    <w:uiPriority w:val="10"/>
    <w:rsid w:val="005050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har1" w:customStyle="1">
    <w:name w:val="Subtítulo Char1"/>
    <w:basedOn w:val="DefaultParagraphFont"/>
    <w:uiPriority w:val="11"/>
    <w:rsid w:val="0050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itaoChar1" w:customStyle="1">
    <w:name w:val="Citação Char1"/>
    <w:basedOn w:val="DefaultParagraphFont"/>
    <w:uiPriority w:val="29"/>
    <w:rsid w:val="00505017"/>
    <w:rPr>
      <w:i/>
      <w:iCs/>
      <w:color w:val="404040" w:themeColor="text1" w:themeTint="BF"/>
    </w:rPr>
  </w:style>
  <w:style w:type="character" w:styleId="CitaoIntensaChar1" w:customStyle="1">
    <w:name w:val="Citação Intensa Char1"/>
    <w:basedOn w:val="DefaultParagraphFont"/>
    <w:uiPriority w:val="30"/>
    <w:rsid w:val="00505017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A66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3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3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33C"/>
    <w:rPr>
      <w:color w:val="605E5C"/>
      <w:shd w:val="clear" w:color="auto" w:fill="E1DFDD"/>
    </w:rPr>
  </w:style>
  <w:style w:type="character" w:styleId="Ttulo1Char" w:customStyle="1">
    <w:name w:val="Título 1 Char"/>
    <w:basedOn w:val="DefaultParagraphFont"/>
    <w:uiPriority w:val="9"/>
    <w:rsid w:val="005A79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rsid w:val="005A79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rsid w:val="005A79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rsid w:val="005A7904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rsid w:val="005A7904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rsid w:val="005A7904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rsid w:val="005A7904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rsid w:val="005A7904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rsid w:val="005A7904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fjp.mg.gov.br/brasil-registra-deficit-habitacional-de-6-milhoes-de-domicilios/" TargetMode="Externa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ceara.gov.br/2024/10/02/entrada-moradia-ceara-mais-de-1-100-cearenses-ja-tem-subsidio-de-r20-mil-aprovado-para-dar-entrada-na-casa-propria/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ww.parana.pr.gov.br/aen/Noticia/Com-116-mil-familias-atendidas-Parana-tem-o-maior-programa-habitacional-do-Brasil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seduh.pe.gov.br/programa-morar-bem-pe/" TargetMode="External" Id="rId9" /><Relationship Type="http://schemas.microsoft.com/office/2020/10/relationships/intelligence" Target="intelligence2.xml" Id="Rcccb9d6257dd45d0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68980c-eb2c-4045-890b-68e1b5b12c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F5115DF78E514CABD538E9BFDAB49D" ma:contentTypeVersion="6" ma:contentTypeDescription="Crie um novo documento." ma:contentTypeScope="" ma:versionID="e1eb1518bc76e02c417974ce5bb31fa8">
  <xsd:schema xmlns:xsd="http://www.w3.org/2001/XMLSchema" xmlns:xs="http://www.w3.org/2001/XMLSchema" xmlns:p="http://schemas.microsoft.com/office/2006/metadata/properties" xmlns:ns3="4a68980c-eb2c-4045-890b-68e1b5b12cd4" targetNamespace="http://schemas.microsoft.com/office/2006/metadata/properties" ma:root="true" ma:fieldsID="396eee53b4353fdda41491ffbb623e2c" ns3:_="">
    <xsd:import namespace="4a68980c-eb2c-4045-890b-68e1b5b12c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68980c-eb2c-4045-890b-68e1b5b12c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BD09A6-B148-4E5B-8275-878D81114A3B}">
  <ds:schemaRefs>
    <ds:schemaRef ds:uri="http://schemas.microsoft.com/office/2006/metadata/properties"/>
    <ds:schemaRef ds:uri="http://schemas.microsoft.com/office/infopath/2007/PartnerControls"/>
    <ds:schemaRef ds:uri="4a68980c-eb2c-4045-890b-68e1b5b12cd4"/>
  </ds:schemaRefs>
</ds:datastoreItem>
</file>

<file path=customXml/itemProps2.xml><?xml version="1.0" encoding="utf-8"?>
<ds:datastoreItem xmlns:ds="http://schemas.openxmlformats.org/officeDocument/2006/customXml" ds:itemID="{E7E908E8-0970-497B-B85F-D3510E3F46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68980c-eb2c-4045-890b-68e1b5b12c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4168EF-4BF5-41E8-9853-74FD0A1729B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Danyel Amorim Calvalcanti de Lima</dc:creator>
  <keywords/>
  <dc:description/>
  <lastModifiedBy>Usuário Convidado</lastModifiedBy>
  <revision>32</revision>
  <dcterms:created xsi:type="dcterms:W3CDTF">2026-04-04T19:43:00.0000000Z</dcterms:created>
  <dcterms:modified xsi:type="dcterms:W3CDTF">2026-04-06T18:23:38.0126377Z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0x01010098F5115DF78E514CABD538E9BFDAB49D</vt:lpwstr>
  </property>
</Properties>
</file>