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B45D" w14:textId="77777777" w:rsidR="00A15332" w:rsidRPr="00A15332" w:rsidRDefault="00A15332" w:rsidP="00A15332">
      <w:pPr>
        <w:pStyle w:val="Ttulo3"/>
        <w:spacing w:after="281" w:line="240" w:lineRule="auto"/>
        <w:jc w:val="both"/>
        <w:rPr>
          <w:rFonts w:ascii="Aptos" w:eastAsia="Aptos" w:hAnsi="Aptos" w:cs="Aptos"/>
          <w:b/>
          <w:bCs/>
        </w:rPr>
      </w:pPr>
      <w:r w:rsidRPr="00A15332">
        <w:rPr>
          <w:rFonts w:ascii="Aptos" w:eastAsia="Aptos" w:hAnsi="Aptos" w:cs="Aptos"/>
          <w:b/>
          <w:bCs/>
        </w:rPr>
        <w:t>técnica, fiscal e social</w:t>
      </w:r>
    </w:p>
    <w:p w14:paraId="3A4C9C46" w14:textId="1C44C8A0" w:rsidR="00E35513" w:rsidRDefault="00E35513" w:rsidP="00764313">
      <w:pPr>
        <w:pStyle w:val="Ttulo3"/>
        <w:spacing w:before="0" w:after="281" w:line="240" w:lineRule="auto"/>
        <w:jc w:val="both"/>
        <w:rPr>
          <w:sz w:val="22"/>
          <w:szCs w:val="22"/>
        </w:rPr>
      </w:pPr>
      <w:r w:rsidRPr="00E35513">
        <w:rPr>
          <w:rFonts w:ascii="Aptos" w:eastAsia="Aptos" w:hAnsi="Aptos" w:cs="Aptos"/>
          <w:b/>
          <w:bCs/>
        </w:rPr>
        <w:t xml:space="preserve">Pré-Projeto: </w:t>
      </w:r>
      <w:r>
        <w:rPr>
          <w:rFonts w:ascii="Aptos" w:eastAsia="Aptos" w:hAnsi="Aptos" w:cs="Aptos"/>
          <w:b/>
          <w:bCs/>
        </w:rPr>
        <w:t>Avaliação de Política Pública – Cheque Habitação</w:t>
      </w:r>
    </w:p>
    <w:p w14:paraId="775245CB" w14:textId="77BA9E4B" w:rsidR="00764313" w:rsidRPr="00764313" w:rsidRDefault="00E35513" w:rsidP="00764313">
      <w:pPr>
        <w:pStyle w:val="Ttulo3"/>
        <w:spacing w:before="0" w:after="281" w:line="240" w:lineRule="auto"/>
        <w:jc w:val="both"/>
        <w:rPr>
          <w:sz w:val="22"/>
          <w:szCs w:val="22"/>
        </w:rPr>
      </w:pPr>
      <w:r w:rsidRPr="00E35513">
        <w:rPr>
          <w:sz w:val="22"/>
          <w:szCs w:val="22"/>
        </w:rPr>
        <w:t xml:space="preserve">Augusto Floriano, </w:t>
      </w:r>
      <w:proofErr w:type="spellStart"/>
      <w:r w:rsidRPr="00E35513">
        <w:rPr>
          <w:sz w:val="22"/>
          <w:szCs w:val="22"/>
        </w:rPr>
        <w:t>Danyel</w:t>
      </w:r>
      <w:proofErr w:type="spellEnd"/>
      <w:r w:rsidRPr="00E35513">
        <w:rPr>
          <w:sz w:val="22"/>
          <w:szCs w:val="22"/>
        </w:rPr>
        <w:t xml:space="preserve"> Lima, Eliel Dario</w:t>
      </w:r>
      <w:r>
        <w:rPr>
          <w:sz w:val="22"/>
          <w:szCs w:val="22"/>
        </w:rPr>
        <w:t xml:space="preserve">, </w:t>
      </w:r>
      <w:r w:rsidRPr="00E35513">
        <w:rPr>
          <w:sz w:val="22"/>
          <w:szCs w:val="22"/>
        </w:rPr>
        <w:t>Fernando Cruz e Gustavo Darmont.</w:t>
      </w:r>
    </w:p>
    <w:p w14:paraId="640049C7" w14:textId="1EC7F016" w:rsidR="00E35513" w:rsidRPr="00E35513" w:rsidRDefault="00E35513" w:rsidP="00764313">
      <w:pPr>
        <w:spacing w:line="240" w:lineRule="auto"/>
        <w:jc w:val="both"/>
        <w:rPr>
          <w:rFonts w:ascii="Aptos" w:eastAsia="Aptos" w:hAnsi="Aptos" w:cs="Aptos"/>
          <w:b/>
          <w:bCs/>
          <w:color w:val="0F4761" w:themeColor="accent1" w:themeShade="BF"/>
          <w:sz w:val="28"/>
          <w:szCs w:val="28"/>
        </w:rPr>
      </w:pPr>
      <w:r>
        <w:rPr>
          <w:rFonts w:ascii="Aptos" w:eastAsia="Aptos" w:hAnsi="Aptos" w:cs="Aptos"/>
          <w:b/>
          <w:bCs/>
          <w:color w:val="0F4761" w:themeColor="accent1" w:themeShade="BF"/>
          <w:sz w:val="28"/>
          <w:szCs w:val="28"/>
        </w:rPr>
        <w:t xml:space="preserve">1. </w:t>
      </w:r>
      <w:r w:rsidRPr="00E35513">
        <w:rPr>
          <w:rFonts w:ascii="Aptos" w:eastAsia="Aptos" w:hAnsi="Aptos" w:cs="Aptos"/>
          <w:b/>
          <w:bCs/>
          <w:color w:val="0F4761" w:themeColor="accent1" w:themeShade="BF"/>
          <w:sz w:val="28"/>
          <w:szCs w:val="28"/>
        </w:rPr>
        <w:t xml:space="preserve">Tema e Problema de Pesquisa </w:t>
      </w:r>
    </w:p>
    <w:p w14:paraId="52E6AD82" w14:textId="0180F3AA" w:rsidR="00764313" w:rsidRPr="00764313" w:rsidRDefault="00E35513" w:rsidP="00764313">
      <w:pPr>
        <w:spacing w:line="240" w:lineRule="auto"/>
        <w:ind w:firstLine="708"/>
        <w:jc w:val="both"/>
        <w:rPr>
          <w:sz w:val="22"/>
          <w:szCs w:val="22"/>
        </w:rPr>
      </w:pPr>
      <w:r w:rsidRPr="00E35513">
        <w:rPr>
          <w:sz w:val="22"/>
          <w:szCs w:val="22"/>
        </w:rPr>
        <w:t xml:space="preserve">O déficit habitacional brasileiro </w:t>
      </w:r>
      <w:r w:rsidR="00B36950" w:rsidRPr="00B36950">
        <w:rPr>
          <w:sz w:val="22"/>
          <w:szCs w:val="22"/>
        </w:rPr>
        <w:t>configura-se como uma dificuldade estrutural das famílias de baixa renda em acessar moradias dignas, indo além da simples dimensão de escassez de unidades</w:t>
      </w:r>
      <w:r w:rsidRPr="00E35513">
        <w:rPr>
          <w:sz w:val="22"/>
          <w:szCs w:val="22"/>
        </w:rPr>
        <w:t>. Em 2023, o país registrou um déficit de 5.977.317 domicílios, dos quais 75,7% estavam concentrados na faixa de renda de até dois salários-mínimos. O principal motor desse cenário é o ônus excessivo com aluguel urbano, que responde por 61,3% do total do déficit (3.665.440 domicílios). Para essa parcela da população, o impedimento decisivo não reside na capacidade de arcar com prestações mensais, mas na impossibilidade de acumular a poupança inicial exigida para ingressar em um financiamento habitacional. Nesse contexto, programas de subsídio à entrada surgem como ferramentas essenciais para atacar diretamente esse gargalo de acesso à casa própria.</w:t>
      </w:r>
    </w:p>
    <w:p w14:paraId="0A35BF61" w14:textId="2A4C79BA" w:rsidR="024A3392" w:rsidRDefault="00E35513" w:rsidP="00764313">
      <w:pPr>
        <w:pStyle w:val="Ttulo3"/>
        <w:spacing w:before="0" w:after="281" w:line="240" w:lineRule="auto"/>
        <w:jc w:val="both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2.</w:t>
      </w:r>
      <w:r w:rsidRPr="00E35513">
        <w:rPr>
          <w:rFonts w:eastAsiaTheme="minorHAnsi" w:cstheme="minorBidi"/>
          <w:color w:val="auto"/>
          <w:sz w:val="24"/>
          <w:szCs w:val="24"/>
        </w:rPr>
        <w:t xml:space="preserve"> </w:t>
      </w:r>
      <w:r w:rsidRPr="00E35513">
        <w:rPr>
          <w:rFonts w:ascii="Aptos" w:eastAsia="Aptos" w:hAnsi="Aptos" w:cs="Aptos"/>
          <w:b/>
          <w:bCs/>
        </w:rPr>
        <w:t xml:space="preserve">Contextualização e Experiência Comparada </w:t>
      </w:r>
    </w:p>
    <w:p w14:paraId="3DC10BA1" w14:textId="13D3FB0E" w:rsidR="00764313" w:rsidRPr="00764313" w:rsidRDefault="00E35513" w:rsidP="00764313">
      <w:pPr>
        <w:spacing w:before="240" w:after="240" w:line="240" w:lineRule="auto"/>
        <w:ind w:firstLine="708"/>
        <w:jc w:val="both"/>
        <w:rPr>
          <w:rFonts w:ascii="Aptos" w:eastAsia="Aptos" w:hAnsi="Aptos" w:cs="Aptos"/>
          <w:sz w:val="22"/>
          <w:szCs w:val="22"/>
        </w:rPr>
      </w:pPr>
      <w:r w:rsidRPr="00E35513">
        <w:rPr>
          <w:rFonts w:ascii="Aptos" w:eastAsia="Aptos" w:hAnsi="Aptos" w:cs="Aptos"/>
          <w:sz w:val="22"/>
          <w:szCs w:val="22"/>
        </w:rPr>
        <w:t>A análise da viabilidade dessas políticas no Brasil destaca programas pioneiros como o Morar Bem (PE), Casa Fácil (PR) e Entrada Moradia (CE), que operam sob o princípio de circundar a barreira do capital inicial. No Paraná, o Casa Fácil concede subsídios de R$ 20 mil para famílias com renda de até quatro salários-mínimos, tendo atingido 88 mil famílias até julho de 2025 com investimentos estaduais de R$ 1 bilhão e um efeito econômico superior a R$ 20 bilhões na construção civil. Em Pernambuco, o Morar Bem foca em rendas de até dois salários-mínimos, já beneficiando 20 mil famílias em fevereiro de 2026; o programa impulsionou o volume anual de financiamentos no estado de R$ 2 bilhões para R$ 8 bilhões em apenas três anos. Já o Entrada Moradia, no Ceará, atende famílias com renda de até R$ 4.400 e alcançou 7.900 contratos em janeiro de 2026, com aporte estadual de R$ 158 milhões e meta de 10 mil beneficiários.</w:t>
      </w:r>
    </w:p>
    <w:p w14:paraId="6B5CCBA8" w14:textId="769B455E" w:rsidR="00A6633C" w:rsidRPr="00A6633C" w:rsidRDefault="00E35513" w:rsidP="00764313">
      <w:pPr>
        <w:pStyle w:val="Ttulo3"/>
        <w:spacing w:before="0" w:after="281" w:line="240" w:lineRule="auto"/>
        <w:jc w:val="both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3. </w:t>
      </w:r>
      <w:r w:rsidRPr="00E35513">
        <w:rPr>
          <w:rFonts w:ascii="Aptos" w:eastAsia="Aptos" w:hAnsi="Aptos" w:cs="Aptos"/>
          <w:b/>
          <w:bCs/>
        </w:rPr>
        <w:t>Justificativa: O Cenário no Rio de Janeiro</w:t>
      </w:r>
    </w:p>
    <w:p w14:paraId="28EDB8DD" w14:textId="45C43938" w:rsidR="00764313" w:rsidRPr="00764313" w:rsidRDefault="00E35513" w:rsidP="00764313">
      <w:pPr>
        <w:spacing w:line="240" w:lineRule="auto"/>
        <w:ind w:firstLine="708"/>
        <w:jc w:val="both"/>
        <w:rPr>
          <w:sz w:val="22"/>
          <w:szCs w:val="22"/>
        </w:rPr>
      </w:pPr>
      <w:r w:rsidRPr="00E35513">
        <w:rPr>
          <w:rFonts w:ascii="Aptos" w:eastAsia="Aptos" w:hAnsi="Aptos" w:cs="Aptos"/>
          <w:sz w:val="22"/>
          <w:szCs w:val="22"/>
        </w:rPr>
        <w:t xml:space="preserve">No Rio de Janeiro, o problema habitacional é agravado pela incapacidade das famílias de superar a barreira financeira de entrada. O estado possui um déficit de 535.964 domicílios, sendo que 75% dessa carência (401.554 domicílios) está concentrada na Região Metropolitana. Em março de 2026, o Índice </w:t>
      </w:r>
      <w:proofErr w:type="spellStart"/>
      <w:r w:rsidRPr="00E35513">
        <w:rPr>
          <w:rFonts w:ascii="Aptos" w:eastAsia="Aptos" w:hAnsi="Aptos" w:cs="Aptos"/>
          <w:sz w:val="22"/>
          <w:szCs w:val="22"/>
        </w:rPr>
        <w:t>FipeZAP</w:t>
      </w:r>
      <w:proofErr w:type="spellEnd"/>
      <w:r w:rsidRPr="00E35513">
        <w:rPr>
          <w:rFonts w:ascii="Aptos" w:eastAsia="Aptos" w:hAnsi="Aptos" w:cs="Aptos"/>
          <w:sz w:val="22"/>
          <w:szCs w:val="22"/>
        </w:rPr>
        <w:t xml:space="preserve"> indicou que o custo do aluguel residencial subiu 10,89% em 12 meses — mais que o dobro da valorização dos imóveis para venda (4,21%). Este ônus elevado consome a capacidade de poupança das famílias, impedindo o acúmulo dos 20% de entrada exigidos pelos bancos, especialmente na faixa de 1 a 2 salários-mínimos, que detém 45,9% do déficit regional. Com o m² médio na capital em R$ 10.901, mesmo em bairros de perfil social como a Tijuca (R$ 6.898/m²), um imóvel de 45m² demanda uma entrada superior a R$ 60 mil. Apesar de 71% das transações envolverem reduções de preço em dezembro de 2025, a barreira do capital permanece intransponível para os 33% da população que pretendem adquirir um imóvel.</w:t>
      </w:r>
    </w:p>
    <w:p w14:paraId="37C70BE2" w14:textId="31E7E94B" w:rsidR="56DBE47F" w:rsidRDefault="00E35513" w:rsidP="00764313">
      <w:pPr>
        <w:pStyle w:val="Ttulo3"/>
        <w:spacing w:before="0" w:after="281" w:line="240" w:lineRule="auto"/>
        <w:jc w:val="both"/>
      </w:pPr>
      <w:r>
        <w:rPr>
          <w:rFonts w:ascii="Aptos" w:eastAsia="Aptos" w:hAnsi="Aptos" w:cs="Aptos"/>
          <w:b/>
          <w:bCs/>
        </w:rPr>
        <w:lastRenderedPageBreak/>
        <w:t xml:space="preserve">4. </w:t>
      </w:r>
      <w:r w:rsidRPr="00E35513">
        <w:rPr>
          <w:rFonts w:ascii="Aptos" w:eastAsia="Aptos" w:hAnsi="Aptos" w:cs="Aptos"/>
          <w:b/>
          <w:bCs/>
        </w:rPr>
        <w:t>Pergunta de Pesquisa e Objetivo</w:t>
      </w:r>
    </w:p>
    <w:p w14:paraId="38EFAED9" w14:textId="7DF43BB0" w:rsidR="00764313" w:rsidRPr="00764313" w:rsidRDefault="00E35513" w:rsidP="00764313">
      <w:pPr>
        <w:pStyle w:val="Ttulo3"/>
        <w:spacing w:before="0" w:after="281" w:line="240" w:lineRule="auto"/>
        <w:ind w:firstLine="708"/>
        <w:jc w:val="both"/>
        <w:rPr>
          <w:rFonts w:eastAsiaTheme="minorHAnsi" w:cstheme="minorBidi"/>
          <w:b/>
          <w:bCs/>
          <w:color w:val="auto"/>
          <w:sz w:val="22"/>
          <w:szCs w:val="22"/>
        </w:rPr>
      </w:pPr>
      <w:r w:rsidRPr="00E35513">
        <w:rPr>
          <w:rFonts w:eastAsiaTheme="minorHAnsi" w:cstheme="minorBidi"/>
          <w:color w:val="auto"/>
          <w:sz w:val="22"/>
          <w:szCs w:val="22"/>
        </w:rPr>
        <w:t>O estudo questiona: caso uma política de subsídio ao financiamento imobiliário fosse implementada no Rio de Janeiro, qual seria o impulso nos índices de habitação para cada real investido e qual o custo por família beneficiada</w:t>
      </w:r>
      <w:r>
        <w:rPr>
          <w:rFonts w:eastAsiaTheme="minorHAnsi" w:cstheme="minorBidi"/>
          <w:color w:val="auto"/>
          <w:sz w:val="22"/>
          <w:szCs w:val="22"/>
        </w:rPr>
        <w:t>?</w:t>
      </w:r>
      <w:r w:rsidRPr="00E35513">
        <w:rPr>
          <w:rFonts w:eastAsiaTheme="minorHAnsi" w:cstheme="minorBidi"/>
          <w:color w:val="auto"/>
          <w:sz w:val="22"/>
          <w:szCs w:val="22"/>
        </w:rPr>
        <w:t xml:space="preserve"> O objetivo central é delimitar a viabilidade </w:t>
      </w:r>
      <w:r w:rsidR="00A15332" w:rsidRPr="00A15332">
        <w:rPr>
          <w:rFonts w:eastAsiaTheme="minorHAnsi" w:cstheme="minorBidi"/>
          <w:color w:val="auto"/>
          <w:sz w:val="22"/>
          <w:szCs w:val="22"/>
        </w:rPr>
        <w:t>técnica, fiscal e social</w:t>
      </w:r>
      <w:r w:rsidR="00A15332">
        <w:rPr>
          <w:rFonts w:eastAsiaTheme="minorHAnsi" w:cstheme="minorBidi"/>
          <w:color w:val="auto"/>
          <w:sz w:val="22"/>
          <w:szCs w:val="22"/>
        </w:rPr>
        <w:t xml:space="preserve"> </w:t>
      </w:r>
      <w:r w:rsidR="00A15332" w:rsidRPr="00A15332">
        <w:rPr>
          <w:rFonts w:eastAsiaTheme="minorHAnsi" w:cstheme="minorBidi"/>
          <w:color w:val="auto"/>
          <w:sz w:val="22"/>
          <w:szCs w:val="22"/>
        </w:rPr>
        <w:t>de uma política de subsídio à entrada no RJ</w:t>
      </w:r>
      <w:r w:rsidR="00A15332">
        <w:rPr>
          <w:rFonts w:eastAsiaTheme="minorHAnsi" w:cstheme="minorBidi"/>
          <w:color w:val="auto"/>
          <w:sz w:val="22"/>
          <w:szCs w:val="22"/>
        </w:rPr>
        <w:t xml:space="preserve"> </w:t>
      </w:r>
      <w:r w:rsidRPr="00E35513">
        <w:rPr>
          <w:rFonts w:eastAsiaTheme="minorHAnsi" w:cstheme="minorBidi"/>
          <w:color w:val="auto"/>
          <w:sz w:val="22"/>
          <w:szCs w:val="22"/>
        </w:rPr>
        <w:t>a partir da experiência de estados pioneiros, estimando o número de beneficiários, o custo total e os impactos no bem-estar social e na construção civil</w:t>
      </w:r>
      <w:r w:rsidR="00A15332">
        <w:rPr>
          <w:rFonts w:eastAsiaTheme="minorHAnsi" w:cstheme="minorBidi"/>
          <w:color w:val="auto"/>
          <w:sz w:val="22"/>
          <w:szCs w:val="22"/>
        </w:rPr>
        <w:t>, assim como p</w:t>
      </w:r>
      <w:r w:rsidR="00A15332" w:rsidRPr="00A15332">
        <w:rPr>
          <w:rFonts w:eastAsiaTheme="minorHAnsi" w:cstheme="minorBidi"/>
          <w:color w:val="auto"/>
          <w:sz w:val="22"/>
          <w:szCs w:val="22"/>
        </w:rPr>
        <w:t>ropor um valor de subsídio adequado ao custo do m² nas diferentes regiões do RJ.</w:t>
      </w:r>
    </w:p>
    <w:p w14:paraId="6E55661D" w14:textId="42D9CF3A" w:rsidR="56DBE47F" w:rsidRDefault="00E35513" w:rsidP="00764313">
      <w:pPr>
        <w:pStyle w:val="Ttulo3"/>
        <w:spacing w:before="0" w:after="281" w:line="240" w:lineRule="auto"/>
        <w:jc w:val="both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5. </w:t>
      </w:r>
      <w:r w:rsidR="56DBE47F" w:rsidRPr="56DBE47F">
        <w:rPr>
          <w:rFonts w:ascii="Aptos" w:eastAsia="Aptos" w:hAnsi="Aptos" w:cs="Aptos"/>
          <w:b/>
          <w:bCs/>
        </w:rPr>
        <w:t>Metodologia</w:t>
      </w:r>
    </w:p>
    <w:p w14:paraId="22704C1D" w14:textId="251A16BB" w:rsidR="00E35513" w:rsidRPr="00E35513" w:rsidRDefault="00E35513" w:rsidP="00764313">
      <w:pPr>
        <w:spacing w:after="240" w:line="240" w:lineRule="auto"/>
        <w:ind w:firstLine="360"/>
        <w:jc w:val="both"/>
        <w:rPr>
          <w:rFonts w:ascii="Aptos" w:eastAsia="Aptos" w:hAnsi="Aptos" w:cs="Aptos"/>
          <w:sz w:val="22"/>
          <w:szCs w:val="22"/>
        </w:rPr>
      </w:pPr>
      <w:r w:rsidRPr="00E35513">
        <w:rPr>
          <w:rFonts w:ascii="Aptos" w:eastAsia="Aptos" w:hAnsi="Aptos" w:cs="Aptos"/>
          <w:sz w:val="22"/>
          <w:szCs w:val="22"/>
        </w:rPr>
        <w:t xml:space="preserve">A estratégia </w:t>
      </w:r>
      <w:r w:rsidR="00A23E29">
        <w:rPr>
          <w:rFonts w:ascii="Aptos" w:eastAsia="Aptos" w:hAnsi="Aptos" w:cs="Aptos"/>
          <w:sz w:val="22"/>
          <w:szCs w:val="22"/>
        </w:rPr>
        <w:t xml:space="preserve">metodológica </w:t>
      </w:r>
      <w:r w:rsidRPr="00E35513">
        <w:rPr>
          <w:rFonts w:ascii="Aptos" w:eastAsia="Aptos" w:hAnsi="Aptos" w:cs="Aptos"/>
          <w:sz w:val="22"/>
          <w:szCs w:val="22"/>
        </w:rPr>
        <w:t>priorizará a Análise de Eficiência Operacional e Alocativa:</w:t>
      </w:r>
    </w:p>
    <w:p w14:paraId="4924AD7B" w14:textId="77777777" w:rsidR="00E35513" w:rsidRPr="00E35513" w:rsidRDefault="00E35513" w:rsidP="00764313">
      <w:pPr>
        <w:numPr>
          <w:ilvl w:val="0"/>
          <w:numId w:val="4"/>
        </w:numPr>
        <w:spacing w:after="240" w:line="240" w:lineRule="auto"/>
        <w:jc w:val="both"/>
        <w:rPr>
          <w:rFonts w:ascii="Aptos" w:eastAsia="Aptos" w:hAnsi="Aptos" w:cs="Aptos"/>
          <w:sz w:val="22"/>
          <w:szCs w:val="22"/>
        </w:rPr>
      </w:pPr>
      <w:r w:rsidRPr="00E35513">
        <w:rPr>
          <w:rFonts w:ascii="Aptos" w:eastAsia="Aptos" w:hAnsi="Aptos" w:cs="Aptos"/>
          <w:b/>
          <w:bCs/>
          <w:sz w:val="22"/>
          <w:szCs w:val="22"/>
        </w:rPr>
        <w:t>Eficiência Operacional:</w:t>
      </w:r>
      <w:r w:rsidRPr="00E35513">
        <w:rPr>
          <w:rFonts w:ascii="Aptos" w:eastAsia="Aptos" w:hAnsi="Aptos" w:cs="Aptos"/>
          <w:sz w:val="22"/>
          <w:szCs w:val="22"/>
        </w:rPr>
        <w:t xml:space="preserve"> Razão entre o custo total (subsídio e gastos administrativos/TI das </w:t>
      </w:r>
      <w:proofErr w:type="spellStart"/>
      <w:r w:rsidRPr="00E35513">
        <w:rPr>
          <w:rFonts w:ascii="Aptos" w:eastAsia="Aptos" w:hAnsi="Aptos" w:cs="Aptos"/>
          <w:sz w:val="22"/>
          <w:szCs w:val="22"/>
        </w:rPr>
        <w:t>CEHABs</w:t>
      </w:r>
      <w:proofErr w:type="spellEnd"/>
      <w:r w:rsidRPr="00E35513">
        <w:rPr>
          <w:rFonts w:ascii="Aptos" w:eastAsia="Aptos" w:hAnsi="Aptos" w:cs="Aptos"/>
          <w:sz w:val="22"/>
          <w:szCs w:val="22"/>
        </w:rPr>
        <w:t>) e o número de contratos.</w:t>
      </w:r>
    </w:p>
    <w:p w14:paraId="1F202353" w14:textId="77777777" w:rsidR="00E35513" w:rsidRPr="00E35513" w:rsidRDefault="00E35513" w:rsidP="00764313">
      <w:pPr>
        <w:numPr>
          <w:ilvl w:val="0"/>
          <w:numId w:val="4"/>
        </w:numPr>
        <w:spacing w:after="240" w:line="240" w:lineRule="auto"/>
        <w:jc w:val="both"/>
        <w:rPr>
          <w:rFonts w:ascii="Aptos" w:eastAsia="Aptos" w:hAnsi="Aptos" w:cs="Aptos"/>
          <w:sz w:val="22"/>
          <w:szCs w:val="22"/>
        </w:rPr>
      </w:pPr>
      <w:r w:rsidRPr="00E35513">
        <w:rPr>
          <w:rFonts w:ascii="Aptos" w:eastAsia="Aptos" w:hAnsi="Aptos" w:cs="Aptos"/>
          <w:b/>
          <w:bCs/>
          <w:sz w:val="22"/>
          <w:szCs w:val="22"/>
        </w:rPr>
        <w:t>Redução do Déficit:</w:t>
      </w:r>
      <w:r w:rsidRPr="00E35513">
        <w:rPr>
          <w:rFonts w:ascii="Aptos" w:eastAsia="Aptos" w:hAnsi="Aptos" w:cs="Aptos"/>
          <w:sz w:val="22"/>
          <w:szCs w:val="22"/>
        </w:rPr>
        <w:t xml:space="preserve"> Uso de microdados da FJP para avaliar se a conversão do aluguel em prestação é matematicamente sustentável para o público-alvo.</w:t>
      </w:r>
    </w:p>
    <w:p w14:paraId="31D389CB" w14:textId="093541AE" w:rsidR="00764313" w:rsidRPr="00764313" w:rsidRDefault="00E35513" w:rsidP="00764313">
      <w:pPr>
        <w:numPr>
          <w:ilvl w:val="0"/>
          <w:numId w:val="4"/>
        </w:numPr>
        <w:spacing w:after="240" w:line="240" w:lineRule="auto"/>
        <w:jc w:val="both"/>
        <w:rPr>
          <w:rFonts w:ascii="Aptos" w:eastAsia="Aptos" w:hAnsi="Aptos" w:cs="Aptos"/>
          <w:sz w:val="22"/>
          <w:szCs w:val="22"/>
        </w:rPr>
      </w:pPr>
      <w:r w:rsidRPr="00E35513">
        <w:rPr>
          <w:rFonts w:ascii="Aptos" w:eastAsia="Aptos" w:hAnsi="Aptos" w:cs="Aptos"/>
          <w:b/>
          <w:bCs/>
          <w:sz w:val="22"/>
          <w:szCs w:val="22"/>
        </w:rPr>
        <w:t>Efeito Multiplicador:</w:t>
      </w:r>
      <w:r w:rsidRPr="00E35513">
        <w:rPr>
          <w:rFonts w:ascii="Aptos" w:eastAsia="Aptos" w:hAnsi="Aptos" w:cs="Aptos"/>
          <w:sz w:val="22"/>
          <w:szCs w:val="22"/>
        </w:rPr>
        <w:t xml:space="preserve"> Aplicação de análise econômica para verificar o fomento à indústria local, tomando como base o multiplicador de 1:20 observado no Paraná</w:t>
      </w:r>
    </w:p>
    <w:p w14:paraId="7AE0248A" w14:textId="5E139F4F" w:rsidR="00A6633C" w:rsidRPr="00A6633C" w:rsidRDefault="00A23E29" w:rsidP="00764313">
      <w:pPr>
        <w:pStyle w:val="Ttulo3"/>
        <w:spacing w:before="0" w:after="281" w:line="240" w:lineRule="auto"/>
        <w:jc w:val="both"/>
      </w:pPr>
      <w:r>
        <w:rPr>
          <w:rFonts w:ascii="Aptos" w:eastAsia="Aptos" w:hAnsi="Aptos" w:cs="Aptos"/>
          <w:b/>
          <w:bCs/>
        </w:rPr>
        <w:t xml:space="preserve">6. </w:t>
      </w:r>
      <w:r w:rsidR="100D4DE9" w:rsidRPr="100D4DE9">
        <w:rPr>
          <w:rFonts w:ascii="Aptos" w:eastAsia="Aptos" w:hAnsi="Aptos" w:cs="Aptos"/>
          <w:b/>
          <w:bCs/>
        </w:rPr>
        <w:t>Dados</w:t>
      </w:r>
      <w:r>
        <w:rPr>
          <w:rFonts w:ascii="Aptos" w:eastAsia="Aptos" w:hAnsi="Aptos" w:cs="Aptos"/>
          <w:b/>
          <w:bCs/>
        </w:rPr>
        <w:t xml:space="preserve"> e Fontes</w:t>
      </w:r>
    </w:p>
    <w:p w14:paraId="0F5054F5" w14:textId="17D7F873" w:rsidR="00764313" w:rsidRPr="00764313" w:rsidRDefault="00A23E29" w:rsidP="00764313">
      <w:pPr>
        <w:spacing w:before="240" w:after="240" w:line="240" w:lineRule="auto"/>
        <w:ind w:firstLine="708"/>
        <w:jc w:val="both"/>
        <w:rPr>
          <w:rFonts w:eastAsiaTheme="minorEastAsia"/>
          <w:sz w:val="22"/>
          <w:szCs w:val="22"/>
        </w:rPr>
      </w:pPr>
      <w:r w:rsidRPr="00764313">
        <w:rPr>
          <w:rFonts w:ascii="Aptos" w:eastAsia="Aptos" w:hAnsi="Aptos" w:cs="Aptos"/>
          <w:sz w:val="22"/>
          <w:szCs w:val="22"/>
        </w:rPr>
        <w:t xml:space="preserve">Serão utilizados os Portais de Transparência Estaduais para dados de gastos e despesas. A identificação do déficit e perfil de renda virá das bases FJP e PNAD. O fomento industrial será medido via Novo CAGED (MTE), e a evolução de preços e demanda será monitorada pelos índices e pesquisas Raio-X </w:t>
      </w:r>
      <w:proofErr w:type="spellStart"/>
      <w:r w:rsidRPr="00764313">
        <w:rPr>
          <w:rFonts w:ascii="Aptos" w:eastAsia="Aptos" w:hAnsi="Aptos" w:cs="Aptos"/>
          <w:sz w:val="22"/>
          <w:szCs w:val="22"/>
        </w:rPr>
        <w:t>FipeZAP</w:t>
      </w:r>
      <w:proofErr w:type="spellEnd"/>
      <w:r w:rsidRPr="00764313">
        <w:rPr>
          <w:rFonts w:ascii="Aptos" w:eastAsia="Aptos" w:hAnsi="Aptos" w:cs="Aptos"/>
          <w:sz w:val="22"/>
          <w:szCs w:val="22"/>
        </w:rPr>
        <w:t>.</w:t>
      </w:r>
    </w:p>
    <w:p w14:paraId="2C65540F" w14:textId="5EFF9DA9" w:rsidR="024A3392" w:rsidRDefault="00764313" w:rsidP="00764313">
      <w:pPr>
        <w:pStyle w:val="Ttulo3"/>
        <w:spacing w:before="0" w:after="281" w:line="240" w:lineRule="auto"/>
        <w:jc w:val="both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</w:rPr>
        <w:t xml:space="preserve">7. </w:t>
      </w:r>
      <w:r w:rsidR="024A3392" w:rsidRPr="024A3392">
        <w:rPr>
          <w:rFonts w:ascii="Aptos" w:eastAsia="Aptos" w:hAnsi="Aptos" w:cs="Aptos"/>
          <w:b/>
          <w:bCs/>
        </w:rPr>
        <w:t>Links</w:t>
      </w:r>
      <w:r>
        <w:rPr>
          <w:rFonts w:ascii="Aptos" w:eastAsia="Aptos" w:hAnsi="Aptos" w:cs="Aptos"/>
          <w:b/>
          <w:bCs/>
        </w:rPr>
        <w:t xml:space="preserve"> de Referência</w:t>
      </w:r>
    </w:p>
    <w:p w14:paraId="7FA0943E" w14:textId="09588179" w:rsidR="024A3392" w:rsidRDefault="024A3392" w:rsidP="00764313">
      <w:pPr>
        <w:spacing w:line="240" w:lineRule="auto"/>
        <w:jc w:val="both"/>
        <w:rPr>
          <w:sz w:val="22"/>
          <w:szCs w:val="22"/>
        </w:rPr>
      </w:pPr>
      <w:r w:rsidRPr="024A3392">
        <w:rPr>
          <w:rFonts w:ascii="Aptos" w:eastAsia="Aptos" w:hAnsi="Aptos"/>
          <w:sz w:val="22"/>
          <w:szCs w:val="22"/>
        </w:rPr>
        <w:t xml:space="preserve">Déficit Habitacional no Brasil (FJP): </w:t>
      </w:r>
      <w:hyperlink r:id="rId8">
        <w:r w:rsidRPr="024A3392">
          <w:rPr>
            <w:rStyle w:val="Hyperlink"/>
            <w:rFonts w:ascii="Aptos" w:eastAsia="Aptos" w:hAnsi="Aptos" w:cs="Aptos"/>
            <w:sz w:val="22"/>
            <w:szCs w:val="22"/>
          </w:rPr>
          <w:t>Déficit Habitacional no Brasil – Fundação João Pinheiro</w:t>
        </w:r>
      </w:hyperlink>
      <w:r w:rsidRPr="024A3392">
        <w:rPr>
          <w:rFonts w:ascii="Aptos" w:eastAsia="Aptos" w:hAnsi="Aptos"/>
          <w:sz w:val="22"/>
          <w:szCs w:val="22"/>
        </w:rPr>
        <w:t xml:space="preserve"> / </w:t>
      </w:r>
      <w:hyperlink r:id="rId9">
        <w:r w:rsidRPr="024A3392">
          <w:rPr>
            <w:rStyle w:val="Hyperlink"/>
            <w:sz w:val="22"/>
            <w:szCs w:val="22"/>
          </w:rPr>
          <w:t>https://fjp.mg.gov.br/brasil-registra-deficit-habitacional-de-6-milhoes-de-domicilios/</w:t>
        </w:r>
      </w:hyperlink>
    </w:p>
    <w:p w14:paraId="2C323F64" w14:textId="0461EA97" w:rsidR="024A3392" w:rsidRDefault="024A3392" w:rsidP="00764313">
      <w:pPr>
        <w:spacing w:line="240" w:lineRule="auto"/>
        <w:jc w:val="both"/>
        <w:rPr>
          <w:rFonts w:ascii="Aptos" w:eastAsia="Aptos" w:hAnsi="Aptos"/>
          <w:sz w:val="22"/>
          <w:szCs w:val="22"/>
        </w:rPr>
      </w:pPr>
      <w:r w:rsidRPr="024A3392">
        <w:rPr>
          <w:rFonts w:ascii="Aptos" w:eastAsia="Aptos" w:hAnsi="Aptos"/>
          <w:sz w:val="22"/>
          <w:szCs w:val="22"/>
        </w:rPr>
        <w:t xml:space="preserve">Morar Bem (PE): </w:t>
      </w:r>
      <w:hyperlink r:id="rId10">
        <w:r w:rsidRPr="024A3392">
          <w:rPr>
            <w:rStyle w:val="Hyperlink"/>
            <w:rFonts w:ascii="Aptos" w:eastAsia="Aptos" w:hAnsi="Aptos"/>
            <w:sz w:val="22"/>
            <w:szCs w:val="22"/>
          </w:rPr>
          <w:t>https://seduh.pe.gov.br/programa-morar-bem-pe/</w:t>
        </w:r>
      </w:hyperlink>
    </w:p>
    <w:p w14:paraId="51245C8C" w14:textId="4978EB5E" w:rsidR="024A3392" w:rsidRDefault="024A3392" w:rsidP="00764313">
      <w:pPr>
        <w:spacing w:line="240" w:lineRule="auto"/>
        <w:jc w:val="both"/>
        <w:rPr>
          <w:rFonts w:ascii="Aptos" w:eastAsia="Aptos" w:hAnsi="Aptos"/>
          <w:sz w:val="22"/>
          <w:szCs w:val="22"/>
        </w:rPr>
      </w:pPr>
      <w:r w:rsidRPr="024A3392">
        <w:rPr>
          <w:rFonts w:ascii="Aptos" w:eastAsia="Aptos" w:hAnsi="Aptos"/>
          <w:sz w:val="22"/>
          <w:szCs w:val="22"/>
        </w:rPr>
        <w:t xml:space="preserve">Casa Fácil (PR): </w:t>
      </w:r>
      <w:hyperlink r:id="rId11">
        <w:r w:rsidRPr="024A3392">
          <w:rPr>
            <w:rStyle w:val="Hyperlink"/>
            <w:rFonts w:ascii="Aptos" w:eastAsia="Aptos" w:hAnsi="Aptos"/>
            <w:sz w:val="22"/>
            <w:szCs w:val="22"/>
          </w:rPr>
          <w:t>https://www.parana.pr.gov.br/aen/Noticia/Com-116-mil-familias-atendidas-Parana-tem-o-maior-programa-habitacional-do-Brasil</w:t>
        </w:r>
      </w:hyperlink>
    </w:p>
    <w:p w14:paraId="34B142DF" w14:textId="737F3DD5" w:rsidR="024A3392" w:rsidRDefault="024A3392" w:rsidP="00764313">
      <w:pPr>
        <w:spacing w:line="240" w:lineRule="auto"/>
        <w:jc w:val="both"/>
        <w:rPr>
          <w:rFonts w:ascii="Aptos" w:eastAsia="Aptos" w:hAnsi="Aptos"/>
          <w:sz w:val="22"/>
          <w:szCs w:val="22"/>
        </w:rPr>
      </w:pPr>
      <w:r w:rsidRPr="024A3392">
        <w:rPr>
          <w:rFonts w:ascii="Aptos" w:eastAsia="Aptos" w:hAnsi="Aptos"/>
          <w:sz w:val="22"/>
          <w:szCs w:val="22"/>
        </w:rPr>
        <w:t xml:space="preserve">Entrada Moradia (CE): </w:t>
      </w:r>
      <w:hyperlink r:id="rId12">
        <w:r w:rsidRPr="024A3392">
          <w:rPr>
            <w:rStyle w:val="Hyperlink"/>
            <w:rFonts w:ascii="Aptos" w:eastAsia="Aptos" w:hAnsi="Aptos"/>
            <w:sz w:val="22"/>
            <w:szCs w:val="22"/>
          </w:rPr>
          <w:t>https://www.ceara.gov.br/2024/10/02/entrada-moradia-ceara-mais-de-1-100-cearenses-ja-tem-subsidio-de-r20-mil-aprovado-para-dar-entrada-na-casa-propria/</w:t>
        </w:r>
      </w:hyperlink>
    </w:p>
    <w:p w14:paraId="201D8794" w14:textId="2B332D56" w:rsidR="024A3392" w:rsidRDefault="024A3392" w:rsidP="00764313">
      <w:pPr>
        <w:spacing w:line="240" w:lineRule="auto"/>
        <w:jc w:val="both"/>
        <w:rPr>
          <w:rFonts w:ascii="Aptos" w:eastAsia="Aptos" w:hAnsi="Aptos"/>
          <w:sz w:val="22"/>
          <w:szCs w:val="22"/>
        </w:rPr>
      </w:pPr>
      <w:r w:rsidRPr="024A3392">
        <w:rPr>
          <w:rFonts w:ascii="Aptos" w:eastAsia="Aptos" w:hAnsi="Aptos"/>
          <w:sz w:val="22"/>
          <w:szCs w:val="22"/>
        </w:rPr>
        <w:t xml:space="preserve">Valores de Mercado Imobiliário RJ (FipeZAP): </w:t>
      </w:r>
      <w:hyperlink r:id="rId13">
        <w:r w:rsidRPr="024A3392">
          <w:rPr>
            <w:rStyle w:val="Hyperlink"/>
            <w:rFonts w:ascii="Aptos" w:eastAsia="Aptos" w:hAnsi="Aptos"/>
            <w:sz w:val="22"/>
            <w:szCs w:val="22"/>
          </w:rPr>
          <w:t>https://www.fipezap.com.br/</w:t>
        </w:r>
      </w:hyperlink>
    </w:p>
    <w:p w14:paraId="3173B160" w14:textId="2CE27BFF" w:rsidR="024A3392" w:rsidRDefault="024A3392" w:rsidP="00764313">
      <w:pPr>
        <w:spacing w:line="240" w:lineRule="auto"/>
        <w:jc w:val="both"/>
        <w:rPr>
          <w:sz w:val="22"/>
          <w:szCs w:val="22"/>
        </w:rPr>
      </w:pPr>
    </w:p>
    <w:sectPr w:rsidR="024A33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1EFD0"/>
    <w:multiLevelType w:val="hybridMultilevel"/>
    <w:tmpl w:val="C37A9D04"/>
    <w:lvl w:ilvl="0" w:tplc="39583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04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6EF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64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E7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4B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48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E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E2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6214D"/>
    <w:multiLevelType w:val="hybridMultilevel"/>
    <w:tmpl w:val="FF9CA642"/>
    <w:lvl w:ilvl="0" w:tplc="6C2437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5648D28"/>
    <w:multiLevelType w:val="hybridMultilevel"/>
    <w:tmpl w:val="9C0609D2"/>
    <w:lvl w:ilvl="0" w:tplc="F6828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2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06B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24D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2C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5E8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47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83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E9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36D6E"/>
    <w:multiLevelType w:val="multilevel"/>
    <w:tmpl w:val="CDA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694142">
    <w:abstractNumId w:val="0"/>
  </w:num>
  <w:num w:numId="2" w16cid:durableId="372730052">
    <w:abstractNumId w:val="2"/>
  </w:num>
  <w:num w:numId="3" w16cid:durableId="355808927">
    <w:abstractNumId w:val="1"/>
  </w:num>
  <w:num w:numId="4" w16cid:durableId="1769307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3C"/>
    <w:rsid w:val="00091E7F"/>
    <w:rsid w:val="000A2874"/>
    <w:rsid w:val="001A14DC"/>
    <w:rsid w:val="001F51A9"/>
    <w:rsid w:val="0024644E"/>
    <w:rsid w:val="00334FA5"/>
    <w:rsid w:val="003D73E3"/>
    <w:rsid w:val="00413545"/>
    <w:rsid w:val="0046626C"/>
    <w:rsid w:val="00505017"/>
    <w:rsid w:val="005A7904"/>
    <w:rsid w:val="005D020B"/>
    <w:rsid w:val="00764313"/>
    <w:rsid w:val="00791A44"/>
    <w:rsid w:val="007F28F4"/>
    <w:rsid w:val="00837B36"/>
    <w:rsid w:val="008421EC"/>
    <w:rsid w:val="00937A30"/>
    <w:rsid w:val="009B0AAC"/>
    <w:rsid w:val="00A15332"/>
    <w:rsid w:val="00A23E29"/>
    <w:rsid w:val="00A25901"/>
    <w:rsid w:val="00A6633C"/>
    <w:rsid w:val="00AC4B1D"/>
    <w:rsid w:val="00B14460"/>
    <w:rsid w:val="00B36950"/>
    <w:rsid w:val="00BD698A"/>
    <w:rsid w:val="00C023F0"/>
    <w:rsid w:val="00C40F51"/>
    <w:rsid w:val="00D203C1"/>
    <w:rsid w:val="00D35416"/>
    <w:rsid w:val="00DA6975"/>
    <w:rsid w:val="00E35513"/>
    <w:rsid w:val="00E50891"/>
    <w:rsid w:val="00E51E9B"/>
    <w:rsid w:val="024A3392"/>
    <w:rsid w:val="100D4DE9"/>
    <w:rsid w:val="48AB636D"/>
    <w:rsid w:val="4C897EE7"/>
    <w:rsid w:val="5016D616"/>
    <w:rsid w:val="523E20BD"/>
    <w:rsid w:val="56DBE47F"/>
    <w:rsid w:val="5BBC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7B653"/>
  <w15:chartTrackingRefBased/>
  <w15:docId w15:val="{7E17B8CF-D01E-4D1A-9AF7-B355ED43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6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A6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A66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A6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A66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A6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A6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A6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A6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1">
    <w:name w:val="Título Char1"/>
    <w:basedOn w:val="Fontepargpadro"/>
    <w:uiPriority w:val="10"/>
    <w:rsid w:val="0050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1">
    <w:name w:val="Subtítulo Char1"/>
    <w:basedOn w:val="Fontepargpadro"/>
    <w:uiPriority w:val="11"/>
    <w:rsid w:val="0050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1">
    <w:name w:val="Citação Char1"/>
    <w:basedOn w:val="Fontepargpadro"/>
    <w:uiPriority w:val="29"/>
    <w:rsid w:val="00505017"/>
    <w:rPr>
      <w:i/>
      <w:iCs/>
      <w:color w:val="404040" w:themeColor="text1" w:themeTint="BF"/>
    </w:rPr>
  </w:style>
  <w:style w:type="character" w:customStyle="1" w:styleId="CitaoIntensaChar1">
    <w:name w:val="Citação Intensa Char1"/>
    <w:basedOn w:val="Fontepargpadro"/>
    <w:uiPriority w:val="30"/>
    <w:rsid w:val="00505017"/>
    <w:rPr>
      <w:i/>
      <w:iCs/>
      <w:color w:val="0F4761" w:themeColor="accent1" w:themeShade="BF"/>
    </w:rPr>
  </w:style>
  <w:style w:type="paragraph" w:styleId="PargrafodaLista">
    <w:name w:val="List Paragraph"/>
    <w:basedOn w:val="Normal"/>
    <w:uiPriority w:val="34"/>
    <w:qFormat/>
    <w:rsid w:val="00A663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63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63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6633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633C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uiPriority w:val="9"/>
    <w:rsid w:val="005A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5A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5A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5A79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5A79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5A7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uiPriority w:val="9"/>
    <w:semiHidden/>
    <w:rsid w:val="005A79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5A7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uiPriority w:val="9"/>
    <w:semiHidden/>
    <w:rsid w:val="005A7904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jp.mg.gov.br/deficit-habitacional-no-brasil/" TargetMode="External"/><Relationship Id="rId13" Type="http://schemas.openxmlformats.org/officeDocument/2006/relationships/hyperlink" Target="https://www.fipezap.com.b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eara.gov.br/2024/10/02/entrada-moradia-ceara-mais-de-1-100-cearenses-ja-tem-subsidio-de-r20-mil-aprovado-para-dar-entrada-na-casa-propria/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parana.pr.gov.br/aen/Noticia/Com-116-mil-familias-atendidas-Parana-tem-o-maior-programa-habitacional-do-Brasi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seduh.pe.gov.br/programa-morar-bem-pe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fjp.mg.gov.br/brasil-registra-deficit-habitacional-de-6-milhoes-de-domicilio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68980c-eb2c-4045-890b-68e1b5b12c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F5115DF78E514CABD538E9BFDAB49D" ma:contentTypeVersion="6" ma:contentTypeDescription="Crie um novo documento." ma:contentTypeScope="" ma:versionID="e1eb1518bc76e02c417974ce5bb31fa8">
  <xsd:schema xmlns:xsd="http://www.w3.org/2001/XMLSchema" xmlns:xs="http://www.w3.org/2001/XMLSchema" xmlns:p="http://schemas.microsoft.com/office/2006/metadata/properties" xmlns:ns3="4a68980c-eb2c-4045-890b-68e1b5b12cd4" targetNamespace="http://schemas.microsoft.com/office/2006/metadata/properties" ma:root="true" ma:fieldsID="396eee53b4353fdda41491ffbb623e2c" ns3:_="">
    <xsd:import namespace="4a68980c-eb2c-4045-890b-68e1b5b12c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68980c-eb2c-4045-890b-68e1b5b12c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BD09A6-B148-4E5B-8275-878D81114A3B}">
  <ds:schemaRefs>
    <ds:schemaRef ds:uri="http://schemas.microsoft.com/office/2006/metadata/properties"/>
    <ds:schemaRef ds:uri="http://schemas.microsoft.com/office/infopath/2007/PartnerControls"/>
    <ds:schemaRef ds:uri="4a68980c-eb2c-4045-890b-68e1b5b12cd4"/>
  </ds:schemaRefs>
</ds:datastoreItem>
</file>

<file path=customXml/itemProps2.xml><?xml version="1.0" encoding="utf-8"?>
<ds:datastoreItem xmlns:ds="http://schemas.openxmlformats.org/officeDocument/2006/customXml" ds:itemID="{E7E908E8-0970-497B-B85F-D3510E3F46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68980c-eb2c-4045-890b-68e1b5b12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4168EF-4BF5-41E8-9853-74FD0A1729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905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Danyel Amorim Calvalcanti de Lima</dc:creator>
  <cp:keywords/>
  <dc:description/>
  <cp:lastModifiedBy>Gustavo Darmont de Faria Lima</cp:lastModifiedBy>
  <cp:revision>39</cp:revision>
  <dcterms:created xsi:type="dcterms:W3CDTF">2026-04-04T19:43:00Z</dcterms:created>
  <dcterms:modified xsi:type="dcterms:W3CDTF">2026-04-07T18:37:00Z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0x01010098F5115DF78E514CABD538E9BFDAB49D</vt:lpwstr>
  </property>
</Properties>
</file>