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de Regras de Negócio</w:t>
      </w:r>
    </w:p>
    <w:p>
      <w:r>
        <w:rPr>
          <w:color w:val="667085"/>
          <w:sz w:val="26"/>
        </w:rPr>
        <w:t>Modelo para registrar políticas, cálculos, restrições e decisões do domínio.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Informação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Clínica Conecta — Plataforma de Agendamento de Consultas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Modelo reutilizável + exemplo preenchido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Responsável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[Nome / papel]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[dd/mm/aaaa]</w:t>
            </w:r>
          </w:p>
        </w:tc>
      </w:tr>
    </w:tbl>
    <w:p/>
    <w:p>
      <w:pPr>
        <w:pStyle w:val="Heading1"/>
      </w:pPr>
      <w:r>
        <w:t>1. Finalidade</w:t>
      </w:r>
    </w:p>
    <w:p>
      <w:r>
        <w:t>Mantém regras do negócio identificadas e separadas de detalhes de telas e implementação.</w:t>
      </w:r>
    </w:p>
    <w:p>
      <w:pPr>
        <w:pStyle w:val="Heading2"/>
      </w:pPr>
      <w:r>
        <w:t>Quando utilizar</w:t>
      </w:r>
    </w:p>
    <w:p>
      <w:pPr>
        <w:pStyle w:val="ListBullet"/>
      </w:pPr>
      <w:r>
        <w:t>Durante a elicitação e modelagem do domínio.</w:t>
      </w:r>
    </w:p>
    <w:p>
      <w:pPr>
        <w:pStyle w:val="ListBullet"/>
      </w:pPr>
      <w:r>
        <w:t>Ao descobrir políticas que afetam vários requisitos.</w:t>
      </w:r>
    </w:p>
    <w:p>
      <w:pPr>
        <w:pStyle w:val="ListBullet"/>
      </w:pPr>
      <w:r>
        <w:t>Quando mudanças regulatórias ou operacionais exigem análise de impacto.</w:t>
      </w:r>
    </w:p>
    <w:p>
      <w:pPr>
        <w:pStyle w:val="Heading2"/>
      </w:pPr>
      <w:r>
        <w:t>Resultados esperados</w:t>
      </w:r>
    </w:p>
    <w:p>
      <w:pPr>
        <w:pStyle w:val="ListBullet"/>
      </w:pPr>
      <w:r>
        <w:t>Regras identificáveis e rastreáveis.</w:t>
      </w:r>
    </w:p>
    <w:p>
      <w:pPr>
        <w:pStyle w:val="ListBullet"/>
      </w:pPr>
      <w:r>
        <w:t>Responsáveis e fontes explícitos.</w:t>
      </w:r>
    </w:p>
    <w:p>
      <w:pPr>
        <w:pStyle w:val="ListBullet"/>
      </w:pPr>
      <w:r>
        <w:t>Aplicação consistente em requisitos e testes.</w:t>
      </w:r>
    </w:p>
    <w:p>
      <w:r>
        <w:br w:type="page"/>
      </w:r>
    </w:p>
    <w:p>
      <w:pPr>
        <w:pStyle w:val="Heading1"/>
      </w:pPr>
      <w:r>
        <w:t>2. Modelo reutilizável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ID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Nome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Descrição objetiva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Tipo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Fonte</w:t>
            </w:r>
          </w:p>
        </w:tc>
        <w:tc>
          <w:tcPr>
            <w:tcW w:type="dxa" w:w="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Status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RN-___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título curto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organização determina que...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Restrição/Cálculo/Derivação/Autorização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Documento ou responsável</w:t>
            </w:r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Proposta/Aprovada</w:t>
            </w:r>
          </w:p>
        </w:tc>
      </w:tr>
    </w:tbl>
    <w:p/>
    <w:p>
      <w:r>
        <w:rPr>
          <w:b/>
        </w:rPr>
        <w:t xml:space="preserve">Exceções: </w:t>
      </w:r>
      <w:r>
        <w:rPr>
          <w:i/>
        </w:rPr>
        <w:t>[condições autorizadas]</w:t>
      </w:r>
    </w:p>
    <w:p>
      <w:r>
        <w:rPr>
          <w:b/>
        </w:rPr>
        <w:t xml:space="preserve">Vigência: </w:t>
      </w:r>
      <w:r>
        <w:rPr>
          <w:i/>
        </w:rPr>
        <w:t>[início e término]</w:t>
      </w:r>
    </w:p>
    <w:p>
      <w:r>
        <w:rPr>
          <w:b/>
        </w:rPr>
        <w:t xml:space="preserve">Itens relacionados: </w:t>
      </w:r>
      <w:r>
        <w:rPr>
          <w:i/>
        </w:rPr>
        <w:t>[requisitos, casos de uso e testes]</w:t>
      </w:r>
    </w:p>
    <w:p>
      <w:r>
        <w:br w:type="page"/>
      </w:r>
    </w:p>
    <w:p>
      <w:pPr>
        <w:pStyle w:val="Heading1"/>
      </w:pPr>
      <w:r>
        <w:t>3. Exemplo preenchido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ID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Regra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Fonte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Relacionamentos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RN-01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Uma consulta só pode ocupar um horário da agenda.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Coordenação clínica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RF-02, UC-01, CT-04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RN-02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Cancelamentos com menos de 2 horas podem gerar bloqueio.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Política de atendimento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RF-08, UC-03, CT-18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RN-03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Menores de idade exigem responsável vinculado.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Jurídico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RF-12, UC-05, CT-24</w:t>
            </w:r>
          </w:p>
        </w:tc>
      </w:tr>
    </w:tbl>
    <w:p/>
    <w:p>
      <w:pPr>
        <w:pStyle w:val="Heading1"/>
      </w:pPr>
      <w:r>
        <w:t>Checklist de qualidade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type="dxa" w:w="216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regra representa decisão do negócio, não solução técnica.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 frase é atômica e sem ambiguidade.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Fonte, responsável e vigência foram registrados.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Exceções foram explicitadas.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Requisitos e testes afetados estão rastreados.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Clínica Conecta  •  Material didático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FFE5D9-D800-4816-A86F-D45E5FFCCFA8}"/>
</file>

<file path=customXml/itemProps3.xml><?xml version="1.0" encoding="utf-8"?>
<ds:datastoreItem xmlns:ds="http://schemas.openxmlformats.org/officeDocument/2006/customXml" ds:itemID="{4533C694-5CE9-40A0-942D-2501124FFBE3}"/>
</file>

<file path=customXml/itemProps4.xml><?xml version="1.0" encoding="utf-8"?>
<ds:datastoreItem xmlns:ds="http://schemas.openxmlformats.org/officeDocument/2006/customXml" ds:itemID="{2046A182-86A1-48DC-9B70-09EA1FF2D2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Catalogo de Regras de Negocio</dc:title>
  <dc:subject>Análise de requisitos</dc:subject>
  <dc:creator>Material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