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Glossário de Negócio</w:t>
      </w:r>
    </w:p>
    <w:p>
      <w:r>
        <w:rPr>
          <w:color w:val="667085"/>
          <w:sz w:val="26"/>
        </w:rPr>
        <w:t>Modelo para padronizar termos e reduzir interpretações conflitantes.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Campo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Informação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Projeto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Clínica Conecta — Plataforma de Agendamento de Consultas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Tipo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Modelo reutilizável + exemplo preenchido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Versão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Responsável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[Nome / papel]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[dd/mm/aaaa]</w:t>
            </w:r>
          </w:p>
        </w:tc>
      </w:tr>
    </w:tbl>
    <w:p/>
    <w:p>
      <w:pPr>
        <w:pStyle w:val="Heading1"/>
      </w:pPr>
      <w:r>
        <w:t>1. Finalidade</w:t>
      </w:r>
    </w:p>
    <w:p>
      <w:r>
        <w:t>Define a linguagem comum utilizada por stakeholders, requisitos, modelos, interfaces e testes.</w:t>
      </w:r>
    </w:p>
    <w:p>
      <w:pPr>
        <w:pStyle w:val="Heading2"/>
      </w:pPr>
      <w:r>
        <w:t>Quando utilizar</w:t>
      </w:r>
    </w:p>
    <w:p>
      <w:pPr>
        <w:pStyle w:val="ListBullet"/>
      </w:pPr>
      <w:r>
        <w:t>Desde as primeiras entrevistas e oficinas.</w:t>
      </w:r>
    </w:p>
    <w:p>
      <w:pPr>
        <w:pStyle w:val="ListBullet"/>
      </w:pPr>
      <w:r>
        <w:t>Quando o mesmo termo possui significados diferentes.</w:t>
      </w:r>
    </w:p>
    <w:p>
      <w:pPr>
        <w:pStyle w:val="ListBullet"/>
      </w:pPr>
      <w:r>
        <w:t>Ao integrar equipes, fornecedores e sistemas distintos.</w:t>
      </w:r>
    </w:p>
    <w:p>
      <w:pPr>
        <w:pStyle w:val="Heading2"/>
      </w:pPr>
      <w:r>
        <w:t>Resultados esperados</w:t>
      </w:r>
    </w:p>
    <w:p>
      <w:pPr>
        <w:pStyle w:val="ListBullet"/>
      </w:pPr>
      <w:r>
        <w:t>Conceitos definidos de maneira única.</w:t>
      </w:r>
    </w:p>
    <w:p>
      <w:pPr>
        <w:pStyle w:val="ListBullet"/>
      </w:pPr>
      <w:r>
        <w:t>Sinônimos e termos proibidos registrados.</w:t>
      </w:r>
    </w:p>
    <w:p>
      <w:pPr>
        <w:pStyle w:val="ListBullet"/>
      </w:pPr>
      <w:r>
        <w:t>Requisitos mais claros e consistentes.</w:t>
      </w:r>
    </w:p>
    <w:p>
      <w:r>
        <w:br w:type="page"/>
      </w:r>
    </w:p>
    <w:p>
      <w:pPr>
        <w:pStyle w:val="Heading1"/>
      </w:pPr>
      <w:r>
        <w:t>2. Modelo reutilizável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Termo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Definição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Sinônimos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Não confundir com</w:t>
            </w:r>
          </w:p>
        </w:tc>
        <w:tc>
          <w:tcPr>
            <w:tcW w:type="dxa" w:w="1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Fonte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[Termo]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Definição objetiva no contexto do projeto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termos equivalentes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conceitos próximos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especialista/documento</w:t>
            </w:r>
          </w:p>
        </w:tc>
      </w:tr>
    </w:tbl>
    <w:p/>
    <w:p>
      <w:pPr>
        <w:pStyle w:val="Heading2"/>
      </w:pPr>
      <w:r>
        <w:t>Orientações</w:t>
      </w:r>
    </w:p>
    <w:p>
      <w:pPr>
        <w:pStyle w:val="ListBullet"/>
      </w:pPr>
      <w:r>
        <w:t>Use singular para nomear conceitos.</w:t>
      </w:r>
    </w:p>
    <w:p>
      <w:pPr>
        <w:pStyle w:val="ListBullet"/>
      </w:pPr>
      <w:r>
        <w:t>Evite definir um termo com a própria palavra.</w:t>
      </w:r>
    </w:p>
    <w:p>
      <w:pPr>
        <w:pStyle w:val="ListBullet"/>
      </w:pPr>
      <w:r>
        <w:t>Inclua exemplos quando eliminarem ambiguidade.</w:t>
      </w:r>
    </w:p>
    <w:p>
      <w:pPr>
        <w:pStyle w:val="ListBullet"/>
      </w:pPr>
      <w:r>
        <w:t>Relacione termos a entidades de dados e regras relevantes.</w:t>
      </w:r>
    </w:p>
    <w:p>
      <w:r>
        <w:br w:type="page"/>
      </w:r>
    </w:p>
    <w:p>
      <w:pPr>
        <w:pStyle w:val="Heading1"/>
      </w:pPr>
      <w:r>
        <w:t>3. Exemplo preenchido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Termo</w:t>
            </w:r>
          </w:p>
        </w:tc>
        <w:tc>
          <w:tcPr>
            <w:tcW w:type="dxa" w:w="5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Definição</w:t>
            </w:r>
          </w:p>
        </w:tc>
        <w:tc>
          <w:tcPr>
            <w:tcW w:type="dxa" w:w="2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Não confundir com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Consulta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Encontro clínico confirmado para paciente, profissional, data e horário.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Disponibilidade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Disponibilidade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Intervalo da agenda que ainda pode receber uma consulta.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Consulta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Paciente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Pessoa que recebe atendimento e possui cadastro clínico.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Usuário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Responsável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Pessoa autorizada a representar paciente menor ou dependente.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Acompanhante</w:t>
            </w:r>
          </w:p>
        </w:tc>
      </w:tr>
    </w:tbl>
    <w:p/>
    <w:p>
      <w:pPr>
        <w:pStyle w:val="Heading1"/>
      </w:pPr>
      <w:r>
        <w:t>Checklist de qualidade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fill="E8EEF5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83B56"/>
                <w:sz w:val="19"/>
              </w:rPr>
              <w:t>Verificação</w:t>
            </w:r>
          </w:p>
        </w:tc>
        <w:tc>
          <w:tcPr>
            <w:tcW w:type="dxa" w:w="2160"/>
            <w:shd w:fill="E8EEF5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83B56"/>
                <w:sz w:val="19"/>
              </w:rPr>
              <w:t>Status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Todo termo relevante possui uma definição única.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As definições refletem o domínio, não apenas a tela.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Sinônimos e ambiguidades foram tratados.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Especialistas validaram os conceitos.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 glossário é referenciado nos demais documentos.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Clínica Conecta  •  Material didático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KIT DE ANÁLISE DE REQUISITOS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83B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83B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7AD2AE25822C4DAFD071EB948C5B3C" ma:contentTypeVersion="9" ma:contentTypeDescription="Crie um novo documento." ma:contentTypeScope="" ma:versionID="7f04eef9b8f280f3fe8437cfa7cb0cb2">
  <xsd:schema xmlns:xsd="http://www.w3.org/2001/XMLSchema" xmlns:xs="http://www.w3.org/2001/XMLSchema" xmlns:p="http://schemas.microsoft.com/office/2006/metadata/properties" xmlns:ns2="7e7c0529-eaa5-4812-9300-9a12486ef2b0" xmlns:ns3="fa81c50b-4b26-4784-869c-89d7b9f92b82" targetNamespace="http://schemas.microsoft.com/office/2006/metadata/properties" ma:root="true" ma:fieldsID="5888993ae1736d3ecc7b911aee974b6c" ns2:_="" ns3:_="">
    <xsd:import namespace="7e7c0529-eaa5-4812-9300-9a12486ef2b0"/>
    <xsd:import namespace="fa81c50b-4b26-4784-869c-89d7b9f92b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c0529-eaa5-4812-9300-9a12486ef2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56b1d3ba-0ae3-41e2-b963-85dd5a13b1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1c50b-4b26-4784-869c-89d7b9f92b8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f64ea2c-b4ba-4cd6-aef0-a6de89715563}" ma:internalName="TaxCatchAll" ma:showField="CatchAllData" ma:web="fa81c50b-4b26-4784-869c-89d7b9f92b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81c50b-4b26-4784-869c-89d7b9f92b82" xsi:nil="true"/>
    <lcf76f155ced4ddcb4097134ff3c332f xmlns="7e7c0529-eaa5-4812-9300-9a12486ef2b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4FD44A2-197A-4972-A64B-2F4CD1345CE1}"/>
</file>

<file path=customXml/itemProps3.xml><?xml version="1.0" encoding="utf-8"?>
<ds:datastoreItem xmlns:ds="http://schemas.openxmlformats.org/officeDocument/2006/customXml" ds:itemID="{9D902C79-AB52-42CD-B9CF-205B34E24359}"/>
</file>

<file path=customXml/itemProps4.xml><?xml version="1.0" encoding="utf-8"?>
<ds:datastoreItem xmlns:ds="http://schemas.openxmlformats.org/officeDocument/2006/customXml" ds:itemID="{1EE54D95-C9D2-42F8-BE46-006FBE61A39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Glossario de Negocio</dc:title>
  <dc:subject>Análise de requisitos</dc:subject>
  <dc:creator>Material didático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0x010100C77AD2AE25822C4DAFD071EB948C5B3C</vt:lpwstr>
  </property>
</Properties>
</file>