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q1tgx8sorcou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Manter G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06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nfu05lk4fpgm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bibliotecário pode adicionar, excluir ou editar os gêneros de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itwt6tdfhuki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Nome: Aventura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Gênero adicionado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Nome: Aventura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Gênero alterado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Excluir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Gênero excluído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