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1155479" cy="7920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55479" cy="79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5549900</wp:posOffset>
                </wp:positionH>
                <wp:positionV relativeFrom="paragraph">
                  <wp:posOffset>-444499</wp:posOffset>
                </wp:positionV>
                <wp:extent cx="278514" cy="278514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13093" y="3647093"/>
                          <a:ext cx="265814" cy="26581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12700">
                          <a:solidFill>
                            <a:schemeClr val="lt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5549900</wp:posOffset>
                </wp:positionH>
                <wp:positionV relativeFrom="paragraph">
                  <wp:posOffset>-444499</wp:posOffset>
                </wp:positionV>
                <wp:extent cx="278514" cy="278514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8514" cy="27851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UNIVERSIDADE DO VALE DO ITAJAÍ</w:t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EMCT – ESCOLA DO MAR, CIÊNCIA E TECNOLOGIA</w:t>
      </w:r>
    </w:p>
    <w:p w:rsidR="00000000" w:rsidDel="00000000" w:rsidP="00000000" w:rsidRDefault="00000000" w:rsidRPr="00000000" w14:paraId="00000005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CIÊNCIA DA COMPUTAÇÃO – PROJETO C. DE EXTENSÃO UNIVERSITÁRIA</w:t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PROF. DRA. JULIANA CRISTINA GALLAS</w:t>
      </w:r>
    </w:p>
    <w:p w:rsidR="00000000" w:rsidDel="00000000" w:rsidP="00000000" w:rsidRDefault="00000000" w:rsidRPr="00000000" w14:paraId="00000007">
      <w:pPr>
        <w:spacing w:line="360" w:lineRule="auto"/>
        <w:jc w:val="center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jc w:val="center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center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GUSTAVO HENRIQUE STAHL MÜLLER</w:t>
      </w:r>
    </w:p>
    <w:p w:rsidR="00000000" w:rsidDel="00000000" w:rsidP="00000000" w:rsidRDefault="00000000" w:rsidRPr="00000000" w14:paraId="0000000B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PAULO HENRIQUE ROHLING</w:t>
      </w:r>
    </w:p>
    <w:p w:rsidR="00000000" w:rsidDel="00000000" w:rsidP="00000000" w:rsidRDefault="00000000" w:rsidRPr="00000000" w14:paraId="0000000C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LOLLIPOP: UM APLICATIVO PARA AJUDAR NO GERENCIAMENTO DE ATIVIDADES DE GAMIFICAÇÃO</w:t>
      </w:r>
    </w:p>
    <w:p w:rsidR="00000000" w:rsidDel="00000000" w:rsidP="00000000" w:rsidRDefault="00000000" w:rsidRPr="00000000" w14:paraId="00000011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ITAJAÍ</w:t>
      </w:r>
    </w:p>
    <w:p w:rsidR="00000000" w:rsidDel="00000000" w:rsidP="00000000" w:rsidRDefault="00000000" w:rsidRPr="00000000" w14:paraId="0000001E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2022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line="360" w:lineRule="auto"/>
        <w:ind w:left="284"/>
        <w:jc w:val="both"/>
        <w:rPr>
          <w:b w:val="1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b w:val="1"/>
          <w:sz w:val="24"/>
          <w:szCs w:val="24"/>
          <w:rtl w:val="0"/>
        </w:rPr>
        <w:t xml:space="preserve">INTRODUÇÃO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jc w:val="both"/>
        <w:rPr>
          <w:b w:val="1"/>
          <w:sz w:val="24"/>
          <w:szCs w:val="24"/>
        </w:rPr>
      </w:pPr>
      <w:bookmarkStart w:colFirst="0" w:colLast="0" w:name="_791gpaygqthw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ensino tradicional, observam-se diversas situações que podem comprometer o aproveitamento das atividades em sala de aula, porém, a que mais se destaca é a falta de interesse dos alunos. A sala de aula é quase sempre representada  por um monólogo frente a uma plateia passiva, onde os alunos apresentam desinteresse e dificuldades em entender o conteúdo.</w:t>
      </w:r>
    </w:p>
    <w:p w:rsidR="00000000" w:rsidDel="00000000" w:rsidP="00000000" w:rsidRDefault="00000000" w:rsidRPr="00000000" w14:paraId="00000022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Perante este cenário, a gamificação tem se tornado uma importante ferramenta para geração de engajamento em diversos setores, tais como a indústria, saúde, entretenimento, sustentabilidade e, principalmente, educação. Ela consiste no uso das estruturas e técnicas dos jogos para engajar pessoas e resolver problemas.</w:t>
      </w:r>
    </w:p>
    <w:p w:rsidR="00000000" w:rsidDel="00000000" w:rsidP="00000000" w:rsidRDefault="00000000" w:rsidRPr="00000000" w14:paraId="00000023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Entretanto, existem dificuldades no planejamento de atividades gamificadas, ocasionadas principalmente pela falta de processo metodológico para criá-las. Além disso, há uma enorme carência de suporte tecnológico para planejar e gerenciar estas atividades.</w:t>
      </w:r>
    </w:p>
    <w:p w:rsidR="00000000" w:rsidDel="00000000" w:rsidP="00000000" w:rsidRDefault="00000000" w:rsidRPr="00000000" w14:paraId="00000024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objetivo deste trabalho é propor o desenvolvimento de um aplicativo que auxilie os profissionais de educação a gerenciar atividades gamificadas através de um processo simplificado e centralizado. Este aplicativo também contará com uma plataforma gerencial, que poderá ser usada para realizar o controle de toda uma instituição de ensino.</w:t>
      </w:r>
    </w:p>
    <w:p w:rsidR="00000000" w:rsidDel="00000000" w:rsidP="00000000" w:rsidRDefault="00000000" w:rsidRPr="00000000" w14:paraId="00000025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360" w:lineRule="auto"/>
        <w:ind w:firstLine="708.6614173228347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60" w:lineRule="auto"/>
        <w:ind w:firstLine="708.6614173228347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60" w:lineRule="auto"/>
        <w:ind w:firstLine="708.6614173228347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60" w:lineRule="auto"/>
        <w:ind w:firstLine="708.6614173228347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360" w:lineRule="auto"/>
        <w:ind w:firstLine="708.6614173228347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60" w:lineRule="auto"/>
        <w:ind w:firstLine="708.6614173228347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line="360" w:lineRule="auto"/>
        <w:ind w:left="284"/>
        <w:jc w:val="both"/>
        <w:rPr>
          <w:b w:val="1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b w:val="1"/>
          <w:sz w:val="24"/>
          <w:szCs w:val="24"/>
          <w:rtl w:val="0"/>
        </w:rPr>
        <w:t xml:space="preserve">DESENVOLVIMENTO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2"/>
        </w:numPr>
        <w:spacing w:line="360" w:lineRule="auto"/>
        <w:ind w:left="566.9291338582675" w:hanging="566.9291338582675"/>
        <w:jc w:val="both"/>
        <w:rPr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sz w:val="24"/>
          <w:szCs w:val="24"/>
          <w:rtl w:val="0"/>
        </w:rPr>
        <w:t xml:space="preserve">PESQUISAS SECUNDÁRIAS</w:t>
      </w:r>
    </w:p>
    <w:p w:rsidR="00000000" w:rsidDel="00000000" w:rsidP="00000000" w:rsidRDefault="00000000" w:rsidRPr="00000000" w14:paraId="00000031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2"/>
          <w:numId w:val="2"/>
        </w:numPr>
        <w:spacing w:line="360" w:lineRule="auto"/>
        <w:ind w:left="708.6614173228347" w:hanging="720"/>
        <w:jc w:val="both"/>
        <w:rPr>
          <w:b w:val="1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b w:val="1"/>
          <w:sz w:val="24"/>
          <w:szCs w:val="24"/>
          <w:rtl w:val="0"/>
        </w:rPr>
        <w:t xml:space="preserve">Gamificação no ambiente educacional</w:t>
      </w:r>
    </w:p>
    <w:p w:rsidR="00000000" w:rsidDel="00000000" w:rsidP="00000000" w:rsidRDefault="00000000" w:rsidRPr="00000000" w14:paraId="00000033">
      <w:pPr>
        <w:spacing w:line="360" w:lineRule="auto"/>
        <w:ind w:left="1429" w:firstLine="0"/>
        <w:jc w:val="both"/>
        <w:rPr>
          <w:sz w:val="24"/>
          <w:szCs w:val="24"/>
        </w:rPr>
      </w:pPr>
      <w:bookmarkStart w:colFirst="0" w:colLast="0" w:name="_wjl3xp6ib931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360" w:lineRule="auto"/>
        <w:ind w:firstLine="708.661417322834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Entre os objetivos de desenvolvimento sustentável lançados pela Organização das Nações Unidas, a educação de qualidade ganha destaque no problemático cenário brasileiro. Isso porque os ambientes de aprendizagem requerem dos estudantes brasileiros um certo nível motivacional que não se mostra presente (OLIVEIRA, 2020).</w:t>
      </w:r>
    </w:p>
    <w:p w:rsidR="00000000" w:rsidDel="00000000" w:rsidP="00000000" w:rsidRDefault="00000000" w:rsidRPr="00000000" w14:paraId="00000035">
      <w:pPr>
        <w:spacing w:line="360" w:lineRule="auto"/>
        <w:ind w:firstLine="708.661417322834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ambiente de ensino tradicional, pode-se observar que a desmotivação dos alunos é consequência de diferentes fatores, tais como a didática do professor, a não compreensão do plano de ensino, a falta de confiança e até mesmo o bullying (FROTA, 2020).</w:t>
      </w:r>
    </w:p>
    <w:p w:rsidR="00000000" w:rsidDel="00000000" w:rsidP="00000000" w:rsidRDefault="00000000" w:rsidRPr="00000000" w14:paraId="00000036">
      <w:pPr>
        <w:spacing w:line="360" w:lineRule="auto"/>
        <w:ind w:firstLine="708.661417322834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 este problema apresentado, várias iniciativas já foram tomadas para aumentar o engajamento dos estudantes. O engajamento, segundo Raguze (2016), é uma das principais chaves para o sucesso motivacional de qualquer processo de aprendizagem. Neste trabalho, destaca-se a gamificação como mecanismo motivacional de engajamento.</w:t>
      </w:r>
    </w:p>
    <w:p w:rsidR="00000000" w:rsidDel="00000000" w:rsidP="00000000" w:rsidRDefault="00000000" w:rsidRPr="00000000" w14:paraId="00000037">
      <w:pPr>
        <w:spacing w:line="360" w:lineRule="auto"/>
        <w:ind w:firstLine="708.661417322834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Frota (2020) define o processo de gamificação como sendo a utilização de elementos de jogos fora do contexto de jogos. A gamificação tem como objetivo a inserção de elementos encontrados nos jogos em contextos que não são necessariamente da área de jogos, mas que possuam a intenção de promover a motivação do indivíduo. </w:t>
      </w:r>
    </w:p>
    <w:p w:rsidR="00000000" w:rsidDel="00000000" w:rsidP="00000000" w:rsidRDefault="00000000" w:rsidRPr="00000000" w14:paraId="00000038">
      <w:pPr>
        <w:spacing w:line="360" w:lineRule="auto"/>
        <w:ind w:firstLine="708.661417322834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Especificamente, a gamificação é um método que pode ser utilizado para aumentar o engajamento em ambientes de aprendizagem através da inserção de jogos dentro deste domínio. Dentro do ambiente educativo, Caponetto, Earp e Ott (2014) definem o jogo como sendo uma atividade que utiliza o desafio como motivador e adicionam que jogos sem desafio são desinteressantes. Um de seus elementos que contribui para o engajamento é feedback constante, por exemplo, pontuações e mudanças de fase, pois eles trazem uma noção de progresso para o jogador.</w:t>
      </w:r>
    </w:p>
    <w:p w:rsidR="00000000" w:rsidDel="00000000" w:rsidP="00000000" w:rsidRDefault="00000000" w:rsidRPr="00000000" w14:paraId="00000039">
      <w:pPr>
        <w:spacing w:line="360" w:lineRule="auto"/>
        <w:ind w:firstLine="708.6614173228347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2"/>
          <w:numId w:val="2"/>
        </w:numPr>
        <w:spacing w:line="360" w:lineRule="auto"/>
        <w:ind w:left="708.6614173228347" w:hanging="720"/>
        <w:jc w:val="both"/>
        <w:rPr>
          <w:b w:val="1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b w:val="1"/>
          <w:sz w:val="24"/>
          <w:szCs w:val="24"/>
          <w:rtl w:val="0"/>
        </w:rPr>
        <w:t xml:space="preserve">Dificuldades de implantação</w:t>
      </w:r>
    </w:p>
    <w:p w:rsidR="00000000" w:rsidDel="00000000" w:rsidP="00000000" w:rsidRDefault="00000000" w:rsidRPr="00000000" w14:paraId="0000003B">
      <w:pPr>
        <w:spacing w:line="360" w:lineRule="auto"/>
        <w:ind w:left="1429" w:firstLine="0"/>
        <w:jc w:val="both"/>
        <w:rPr>
          <w:sz w:val="24"/>
          <w:szCs w:val="24"/>
        </w:rPr>
      </w:pPr>
      <w:bookmarkStart w:colFirst="0" w:colLast="0" w:name="_wjl3xp6ib931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360" w:lineRule="auto"/>
        <w:ind w:firstLine="708.661417322834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Apesar de todos os benefícios que a gamificação proporciona para o ensino-aprendizagem, a sua implementação traz diversos desafios de planejamento e controle. Grande parte da literatura que incentiva esta prática não traz um detalhamento de métodos adequados de planejamento de atividades gamificadas (TODA, SILVA e ISOTANI, 2022).</w:t>
      </w:r>
    </w:p>
    <w:p w:rsidR="00000000" w:rsidDel="00000000" w:rsidP="00000000" w:rsidRDefault="00000000" w:rsidRPr="00000000" w14:paraId="0000003D">
      <w:pPr>
        <w:spacing w:line="360" w:lineRule="auto"/>
        <w:ind w:firstLine="708.661417322834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Após uma pesquisa bibliográfica, Toda, Silva e Isotani (2022) apontam que um dos grandes problemas relatados pelos profissionais de educação é a carência de suporte tecnológico para planejar e gerenciar estas atividades, o que atrapalha ou até mesmo impede o uso da gamificação em contextos educacionais.</w:t>
      </w:r>
    </w:p>
    <w:p w:rsidR="00000000" w:rsidDel="00000000" w:rsidP="00000000" w:rsidRDefault="00000000" w:rsidRPr="00000000" w14:paraId="0000003E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1"/>
          <w:numId w:val="2"/>
        </w:numPr>
        <w:spacing w:line="360" w:lineRule="auto"/>
        <w:ind w:left="566.9291338582675"/>
        <w:jc w:val="both"/>
        <w:rPr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sz w:val="24"/>
          <w:szCs w:val="24"/>
          <w:rtl w:val="0"/>
        </w:rPr>
        <w:t xml:space="preserve">POLÍTICAS PÚBLICAS EXISTENTES</w:t>
      </w:r>
    </w:p>
    <w:p w:rsidR="00000000" w:rsidDel="00000000" w:rsidP="00000000" w:rsidRDefault="00000000" w:rsidRPr="00000000" w14:paraId="00000040">
      <w:pPr>
        <w:spacing w:line="360" w:lineRule="auto"/>
        <w:ind w:left="1429" w:firstLine="0"/>
        <w:jc w:val="both"/>
        <w:rPr>
          <w:sz w:val="24"/>
          <w:szCs w:val="24"/>
        </w:rPr>
      </w:pPr>
      <w:bookmarkStart w:colFirst="0" w:colLast="0" w:name="_jiz8ixsrpdnd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Projeto de Lei 1324/2021 da Câmara dos Deputados institui a Política Nacional de Gamificação da Educação (PNGE), com objetivo de estabelecer o uso de jogos eletrônicos como prática pedagógica docente e aprimorar o processo de aprendizagem na rede de educação básica brasileira. A PL 1324 foi apresentada em 08/04/2021 e está aguardando designação de relator na Comissão de Finanças e Tributação (CFT).</w:t>
      </w:r>
    </w:p>
    <w:p w:rsidR="00000000" w:rsidDel="00000000" w:rsidP="00000000" w:rsidRDefault="00000000" w:rsidRPr="00000000" w14:paraId="00000042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1"/>
          <w:numId w:val="2"/>
        </w:numPr>
        <w:spacing w:line="360" w:lineRule="auto"/>
        <w:ind w:left="566.9291338582675"/>
        <w:jc w:val="both"/>
        <w:rPr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sz w:val="24"/>
          <w:szCs w:val="24"/>
          <w:rtl w:val="0"/>
        </w:rPr>
        <w:t xml:space="preserve">INICIATIVAS EXISTENTES EM SANTA CATARINA</w:t>
      </w:r>
    </w:p>
    <w:p w:rsidR="00000000" w:rsidDel="00000000" w:rsidP="00000000" w:rsidRDefault="00000000" w:rsidRPr="00000000" w14:paraId="00000044">
      <w:pPr>
        <w:spacing w:line="360" w:lineRule="auto"/>
        <w:ind w:left="1429" w:firstLine="0"/>
        <w:jc w:val="both"/>
        <w:rPr>
          <w:sz w:val="24"/>
          <w:szCs w:val="24"/>
        </w:rPr>
      </w:pPr>
      <w:bookmarkStart w:colFirst="0" w:colLast="0" w:name="_jiz8ixsrpdnd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1ª Temporada de Gamificação em Cibersegurança foi um evento realizado pelo Tribunal de Justiça de Santa Catarina entre 17 de janeiro a 8 de abril de 2022, com o objetivo de promover uma campanha institucional que visa fortalecer a educação e a cultura no tema da cibersegurança, bem como aumentar a conscientização e o senso de responsabilidade dos usuários de tecnologia do PJSC. O evento contou com 1500 participantes e usou técnicas de gamificação para classificar os participantes e motivar o estudo e participação nas atividades.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1"/>
          <w:numId w:val="2"/>
        </w:numPr>
        <w:spacing w:line="360" w:lineRule="auto"/>
        <w:ind w:left="566.9291338582675"/>
        <w:jc w:val="both"/>
        <w:rPr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sz w:val="24"/>
          <w:szCs w:val="24"/>
          <w:rtl w:val="0"/>
        </w:rPr>
        <w:t xml:space="preserve">PROJETOS SEMELHANTES DA UNIVALI</w:t>
      </w:r>
    </w:p>
    <w:p w:rsidR="00000000" w:rsidDel="00000000" w:rsidP="00000000" w:rsidRDefault="00000000" w:rsidRPr="00000000" w14:paraId="00000047">
      <w:pPr>
        <w:spacing w:line="360" w:lineRule="auto"/>
        <w:ind w:left="1429" w:firstLine="0"/>
        <w:jc w:val="both"/>
        <w:rPr>
          <w:sz w:val="24"/>
          <w:szCs w:val="24"/>
        </w:rPr>
      </w:pPr>
      <w:bookmarkStart w:colFirst="0" w:colLast="0" w:name="_jiz8ixsrpdnd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Dentre os projetos de extensão elaborados na Univali, não foi encontrado um que se assemelhe à proposta deste trabalho ou que pelo menos aplicassem a gamificação na sala de aula. Entretanto, foram encontrados dois artigos que aplicaram a gamificação em outras áreas.</w:t>
      </w:r>
    </w:p>
    <w:p w:rsidR="00000000" w:rsidDel="00000000" w:rsidP="00000000" w:rsidRDefault="00000000" w:rsidRPr="00000000" w14:paraId="00000049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O primeiro deles é o trabalho intitulado de “Aplicação de Conceitos de Gamificação para Seleção de Alunos em Projetos de Pesquisa e Extensão”, que criou um sistema para auxiliar na seleção de alunos para o desenvolvimento de projetos de pesquisa e extensão com base em conceitos de gamificação.</w:t>
      </w:r>
    </w:p>
    <w:p w:rsidR="00000000" w:rsidDel="00000000" w:rsidP="00000000" w:rsidRDefault="00000000" w:rsidRPr="00000000" w14:paraId="0000004A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O segundo deles é o trabalho cujo título é “Gamificação: Agente Motivador na Aprendizagem de Engenharia de Software”, que aplicou conceitos de gamificação no ensino de engenharia de software. Este artigo concluiu que houve um aumento positivo de interesse e motivação dos alunos pelo conteúdo, com destaque para as seguintes informações: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line="360" w:lineRule="auto"/>
        <w:ind w:left="992.1259842519685" w:hanging="283.46456692913375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80,70% dos alunos concordam que o design do ambiente criado é motivador;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line="360" w:lineRule="auto"/>
        <w:ind w:left="992.1259842519685" w:hanging="283.46456692913375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71,93% dos alunos concordam que o conteúdo ensinado é relevante;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line="360" w:lineRule="auto"/>
        <w:ind w:left="992.1259842519685" w:hanging="283.46456692913375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71,93% dos alunos afirmam que sentiram confiança daquilo que estavam aprendendo.</w:t>
      </w:r>
    </w:p>
    <w:p w:rsidR="00000000" w:rsidDel="00000000" w:rsidP="00000000" w:rsidRDefault="00000000" w:rsidRPr="00000000" w14:paraId="0000004E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1"/>
          <w:numId w:val="2"/>
        </w:numPr>
        <w:spacing w:line="360" w:lineRule="auto"/>
        <w:ind w:left="566.9291338582675"/>
        <w:jc w:val="both"/>
        <w:rPr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sz w:val="24"/>
          <w:szCs w:val="24"/>
          <w:rtl w:val="0"/>
        </w:rPr>
        <w:t xml:space="preserve">ODS: EDUCAÇÃO DE QUALIDADE</w:t>
      </w:r>
    </w:p>
    <w:p w:rsidR="00000000" w:rsidDel="00000000" w:rsidP="00000000" w:rsidRDefault="00000000" w:rsidRPr="00000000" w14:paraId="00000050">
      <w:pPr>
        <w:spacing w:line="360" w:lineRule="auto"/>
        <w:ind w:left="1429" w:firstLine="0"/>
        <w:jc w:val="both"/>
        <w:rPr>
          <w:sz w:val="24"/>
          <w:szCs w:val="24"/>
        </w:rPr>
      </w:pPr>
      <w:bookmarkStart w:colFirst="0" w:colLast="0" w:name="_jiz8ixsrpdnd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 2015, a Organização das Nações Unidas lançou os objetivos de desenvolvimento sustentável, uma agenda global composta por 17 objetivos e 169 metas. Entre os 17 objetivos propostos pela organização, este projeto busca contribuir para a educação de qualidade, que tem como objetivo assegurar a educação inclusiva, equitativa e de qualidade, além de promover oportunidades de aprendizagem ao longo da vida para todos (IPEA, 2022).</w:t>
      </w:r>
    </w:p>
    <w:p w:rsidR="00000000" w:rsidDel="00000000" w:rsidP="00000000" w:rsidRDefault="00000000" w:rsidRPr="00000000" w14:paraId="00000052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Segundo o Instituto de Pesquisa Econômica Aplicada, uma das principais metas até 2030 é garantir que todos os jovens e uma substancial proporção dos adultos, homens e mulheres estejam alfabetizados e tenham adquirido o conhecimento básico necessário (IPEA, 2022). </w:t>
      </w:r>
    </w:p>
    <w:p w:rsidR="00000000" w:rsidDel="00000000" w:rsidP="00000000" w:rsidRDefault="00000000" w:rsidRPr="00000000" w14:paraId="00000053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 acordo com Oliveira (2020), para que uma educação de qualidade seja alcançada, são necessários processos coerentes que sejam planejados e executados com foco em garantir a qualidade no sistema de ensino.</w:t>
      </w:r>
    </w:p>
    <w:p w:rsidR="00000000" w:rsidDel="00000000" w:rsidP="00000000" w:rsidRDefault="00000000" w:rsidRPr="00000000" w14:paraId="00000054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line="360" w:lineRule="auto"/>
        <w:ind w:left="425.19685039370086" w:hanging="360"/>
        <w:jc w:val="both"/>
        <w:rPr>
          <w:b w:val="1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b w:val="1"/>
          <w:sz w:val="24"/>
          <w:szCs w:val="24"/>
          <w:rtl w:val="0"/>
        </w:rPr>
        <w:t xml:space="preserve">CONSIDERAÇÕES FINAIS</w:t>
        <w:br w:type="textWrapping"/>
      </w:r>
    </w:p>
    <w:p w:rsidR="00000000" w:rsidDel="00000000" w:rsidP="00000000" w:rsidRDefault="00000000" w:rsidRPr="00000000" w14:paraId="00000056">
      <w:pPr>
        <w:spacing w:line="360" w:lineRule="auto"/>
        <w:ind w:firstLine="708.661417322834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 base no referencial teórico reunido através de uma pesquisa bibliográfica, pode-se observar que a gamificação é um método para combater a falta de interesse que está sendo bastante discutido no meio acadêmico. Entre as dificuldades levantadas por alguns artigos aqui citados, chama a atenção o fato de que o planejamento e a gestão destas atividades têm sido um empecilho para os profissionais da área.</w:t>
      </w:r>
    </w:p>
    <w:p w:rsidR="00000000" w:rsidDel="00000000" w:rsidP="00000000" w:rsidRDefault="00000000" w:rsidRPr="00000000" w14:paraId="00000057">
      <w:pPr>
        <w:spacing w:line="360" w:lineRule="auto"/>
        <w:ind w:firstLine="708.661417322834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Mais especificamente, foi relatado que existe uma carência de ferramentas tecnológicas que facilitem este trabalho, o que justifica a demanda que este trabalho se propõe a atender.</w:t>
      </w:r>
    </w:p>
    <w:p w:rsidR="00000000" w:rsidDel="00000000" w:rsidP="00000000" w:rsidRDefault="00000000" w:rsidRPr="00000000" w14:paraId="00000058">
      <w:pPr>
        <w:spacing w:line="360" w:lineRule="auto"/>
        <w:ind w:firstLine="708.6614173228347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360" w:lineRule="auto"/>
        <w:ind w:firstLine="708.6614173228347"/>
        <w:jc w:val="both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line="360" w:lineRule="auto"/>
        <w:ind w:left="425.19685039370086" w:hanging="360"/>
        <w:jc w:val="both"/>
        <w:rPr>
          <w:b w:val="1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b w:val="1"/>
          <w:sz w:val="24"/>
          <w:szCs w:val="24"/>
          <w:rtl w:val="0"/>
        </w:rPr>
        <w:t xml:space="preserve">REFERÊNCIAS</w:t>
      </w:r>
    </w:p>
    <w:p w:rsidR="00000000" w:rsidDel="00000000" w:rsidP="00000000" w:rsidRDefault="00000000" w:rsidRPr="00000000" w14:paraId="0000005C">
      <w:pPr>
        <w:spacing w:line="360" w:lineRule="auto"/>
        <w:ind w:firstLine="708.661417322834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D">
      <w:pPr>
        <w:spacing w:after="12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CÂMARA DOS DEPUTADOS.</w:t>
      </w:r>
      <w:r w:rsidDel="00000000" w:rsidR="00000000" w:rsidRPr="00000000">
        <w:rPr>
          <w:b w:val="1"/>
          <w:sz w:val="24"/>
          <w:szCs w:val="24"/>
          <w:rtl w:val="0"/>
        </w:rPr>
        <w:t xml:space="preserve"> PL 1324/2021</w:t>
      </w:r>
      <w:r w:rsidDel="00000000" w:rsidR="00000000" w:rsidRPr="00000000">
        <w:rPr>
          <w:sz w:val="24"/>
          <w:szCs w:val="24"/>
          <w:rtl w:val="0"/>
        </w:rPr>
        <w:t xml:space="preserve">. Disponível em: &lt;https://www.camara.leg.br/proposicoesWeb/prop_mostrarintegra;jsessionid=node0pscapbos1jyt13en6vihoz7sb4558666.node0?codteor=2014400&amp;filename=Avulso+-PL+1324/2021&gt;. Acesso em 02 out. 2022.</w:t>
      </w:r>
    </w:p>
    <w:p w:rsidR="00000000" w:rsidDel="00000000" w:rsidP="00000000" w:rsidRDefault="00000000" w:rsidRPr="00000000" w14:paraId="0000005E">
      <w:pPr>
        <w:spacing w:after="12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CAPONETTO, I.; EARP, J.; OTT, M. </w:t>
      </w:r>
      <w:r w:rsidDel="00000000" w:rsidR="00000000" w:rsidRPr="00000000">
        <w:rPr>
          <w:b w:val="1"/>
          <w:sz w:val="24"/>
          <w:szCs w:val="24"/>
          <w:rtl w:val="0"/>
        </w:rPr>
        <w:t xml:space="preserve">Gamification and Education: A Literature Review</w:t>
      </w:r>
      <w:r w:rsidDel="00000000" w:rsidR="00000000" w:rsidRPr="00000000">
        <w:rPr>
          <w:sz w:val="24"/>
          <w:szCs w:val="24"/>
          <w:rtl w:val="0"/>
        </w:rPr>
        <w:t xml:space="preserve">. 1. ed. Berlim: University of Applied Sciences, 2014.</w:t>
      </w:r>
    </w:p>
    <w:p w:rsidR="00000000" w:rsidDel="00000000" w:rsidP="00000000" w:rsidRDefault="00000000" w:rsidRPr="00000000" w14:paraId="0000005F">
      <w:pPr>
        <w:spacing w:after="12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FIGUEIREDO, V.; MOURA, F. L.; BARROS, A. F. V. </w:t>
      </w:r>
      <w:r w:rsidDel="00000000" w:rsidR="00000000" w:rsidRPr="00000000">
        <w:rPr>
          <w:b w:val="1"/>
          <w:sz w:val="24"/>
          <w:szCs w:val="24"/>
          <w:rtl w:val="0"/>
        </w:rPr>
        <w:t xml:space="preserve">Aplicação de Conceitos de Gamificação para Seleção de Alunos em Projetos de Pesquisa e Extensão</w:t>
      </w:r>
      <w:r w:rsidDel="00000000" w:rsidR="00000000" w:rsidRPr="00000000">
        <w:rPr>
          <w:sz w:val="24"/>
          <w:szCs w:val="24"/>
          <w:rtl w:val="0"/>
        </w:rPr>
        <w:t xml:space="preserve">. Disponível em: &lt;https://periodicos.univali.br/index.php/acotb/article/view/14333&gt;. Acesso em 02 out. 2022.</w:t>
      </w:r>
    </w:p>
    <w:p w:rsidR="00000000" w:rsidDel="00000000" w:rsidP="00000000" w:rsidRDefault="00000000" w:rsidRPr="00000000" w14:paraId="00000060">
      <w:pPr>
        <w:spacing w:after="12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FROTA, G. L. L. </w:t>
      </w:r>
      <w:r w:rsidDel="00000000" w:rsidR="00000000" w:rsidRPr="00000000">
        <w:rPr>
          <w:b w:val="1"/>
          <w:sz w:val="24"/>
          <w:szCs w:val="24"/>
          <w:rtl w:val="0"/>
        </w:rPr>
        <w:t xml:space="preserve">Gamificação: análise do uso do kahoot como alternativa a avaliação da aprendizagem</w:t>
      </w:r>
      <w:r w:rsidDel="00000000" w:rsidR="00000000" w:rsidRPr="00000000">
        <w:rPr>
          <w:sz w:val="24"/>
          <w:szCs w:val="24"/>
          <w:rtl w:val="0"/>
        </w:rPr>
        <w:t xml:space="preserve">. 2020. Disponível em: &lt;https://cietenped.ufscar.br/submissao/index.php/2020/article/download/1767/1402&gt;. Acesso em 01 out. 2022.</w:t>
      </w:r>
    </w:p>
    <w:p w:rsidR="00000000" w:rsidDel="00000000" w:rsidP="00000000" w:rsidRDefault="00000000" w:rsidRPr="00000000" w14:paraId="00000061">
      <w:pPr>
        <w:spacing w:after="12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IPEA. </w:t>
      </w:r>
      <w:r w:rsidDel="00000000" w:rsidR="00000000" w:rsidRPr="00000000">
        <w:rPr>
          <w:b w:val="1"/>
          <w:sz w:val="24"/>
          <w:szCs w:val="24"/>
          <w:rtl w:val="0"/>
        </w:rPr>
        <w:t xml:space="preserve">Objetivos de Desenvolvimento Sustentável</w:t>
      </w:r>
      <w:r w:rsidDel="00000000" w:rsidR="00000000" w:rsidRPr="00000000">
        <w:rPr>
          <w:sz w:val="24"/>
          <w:szCs w:val="24"/>
          <w:rtl w:val="0"/>
        </w:rPr>
        <w:t xml:space="preserve">. Disponível em: &lt;https://www.ipea.gov.br/ods/ods4.html&gt;. Acesso em 02 out. 2022.</w:t>
      </w:r>
    </w:p>
    <w:p w:rsidR="00000000" w:rsidDel="00000000" w:rsidP="00000000" w:rsidRDefault="00000000" w:rsidRPr="00000000" w14:paraId="00000062">
      <w:pPr>
        <w:spacing w:after="12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OLIVEIRA, J. F. </w:t>
      </w:r>
      <w:r w:rsidDel="00000000" w:rsidR="00000000" w:rsidRPr="00000000">
        <w:rPr>
          <w:b w:val="1"/>
          <w:sz w:val="24"/>
          <w:szCs w:val="24"/>
          <w:rtl w:val="0"/>
        </w:rPr>
        <w:t xml:space="preserve">OBS 4 e Agenda 2030: avanços e entraves na promoção da educação de qualidade na América Latina e no Brasil.</w:t>
      </w:r>
      <w:r w:rsidDel="00000000" w:rsidR="00000000" w:rsidRPr="00000000">
        <w:rPr>
          <w:sz w:val="24"/>
          <w:szCs w:val="24"/>
          <w:rtl w:val="0"/>
        </w:rPr>
        <w:t xml:space="preserve"> 2020. 51 f. Trabalho de Conclusão de Curso (Bacharelado em Relações Internacionais) - Universidade de Brasília, Brasília, 2020.</w:t>
      </w:r>
    </w:p>
    <w:p w:rsidR="00000000" w:rsidDel="00000000" w:rsidP="00000000" w:rsidRDefault="00000000" w:rsidRPr="00000000" w14:paraId="00000063">
      <w:pPr>
        <w:spacing w:after="12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POFFO, M.; THIRY, M.; FERNANDES, A.; HEEMANN, C. </w:t>
      </w:r>
      <w:r w:rsidDel="00000000" w:rsidR="00000000" w:rsidRPr="00000000">
        <w:rPr>
          <w:b w:val="1"/>
          <w:sz w:val="24"/>
          <w:szCs w:val="24"/>
          <w:rtl w:val="0"/>
        </w:rPr>
        <w:t xml:space="preserve">Gamificação: Agente Motivador na Aprendizagem de Engenharia de Software</w:t>
      </w:r>
      <w:r w:rsidDel="00000000" w:rsidR="00000000" w:rsidRPr="00000000">
        <w:rPr>
          <w:sz w:val="24"/>
          <w:szCs w:val="24"/>
          <w:rtl w:val="0"/>
        </w:rPr>
        <w:t xml:space="preserve">. Disponível em: &lt;https://periodicos.univali.br/index.php/acotb/article/view/10572&gt;. Acesso em 02 out. 2022.</w:t>
      </w:r>
    </w:p>
    <w:p w:rsidR="00000000" w:rsidDel="00000000" w:rsidP="00000000" w:rsidRDefault="00000000" w:rsidRPr="00000000" w14:paraId="00000064">
      <w:pPr>
        <w:spacing w:after="12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RAGUZE, T.; SILVA, R. P. </w:t>
      </w:r>
      <w:r w:rsidDel="00000000" w:rsidR="00000000" w:rsidRPr="00000000">
        <w:rPr>
          <w:b w:val="1"/>
          <w:sz w:val="24"/>
          <w:szCs w:val="24"/>
          <w:rtl w:val="0"/>
        </w:rPr>
        <w:t xml:space="preserve">Gamificação aplicada a ambientes de aprendizagem</w:t>
      </w:r>
      <w:r w:rsidDel="00000000" w:rsidR="00000000" w:rsidRPr="00000000">
        <w:rPr>
          <w:sz w:val="24"/>
          <w:szCs w:val="24"/>
          <w:rtl w:val="0"/>
        </w:rPr>
        <w:t xml:space="preserve">. Gamepad, Novo Hamburgo, 10 jun. 2016.</w:t>
      </w:r>
    </w:p>
    <w:p w:rsidR="00000000" w:rsidDel="00000000" w:rsidP="00000000" w:rsidRDefault="00000000" w:rsidRPr="00000000" w14:paraId="00000065">
      <w:pPr>
        <w:spacing w:after="12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TODA, A. M.; SILVA, A. P.; ISOTANI, S. </w:t>
      </w:r>
      <w:r w:rsidDel="00000000" w:rsidR="00000000" w:rsidRPr="00000000">
        <w:rPr>
          <w:b w:val="1"/>
          <w:sz w:val="24"/>
          <w:szCs w:val="24"/>
          <w:rtl w:val="0"/>
        </w:rPr>
        <w:t xml:space="preserve">Desafios para o Planejamento e Implantação da Gamificação no Contexto Educacional</w:t>
      </w:r>
      <w:r w:rsidDel="00000000" w:rsidR="00000000" w:rsidRPr="00000000">
        <w:rPr>
          <w:sz w:val="24"/>
          <w:szCs w:val="24"/>
          <w:rtl w:val="0"/>
        </w:rPr>
        <w:t xml:space="preserve">. Disponível em: &lt;https://seer.ufrgs.br/renote/article/viewFile/79263/46157&gt;. Acesso em 02 out. 2022.</w:t>
      </w:r>
    </w:p>
    <w:p w:rsidR="00000000" w:rsidDel="00000000" w:rsidP="00000000" w:rsidRDefault="00000000" w:rsidRPr="00000000" w14:paraId="00000066">
      <w:pPr>
        <w:spacing w:after="12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TRIBUNAL DE JUSTIÇA DE SANTA CATARINA. </w:t>
      </w:r>
      <w:r w:rsidDel="00000000" w:rsidR="00000000" w:rsidRPr="00000000">
        <w:rPr>
          <w:b w:val="1"/>
          <w:sz w:val="24"/>
          <w:szCs w:val="24"/>
          <w:rtl w:val="0"/>
        </w:rPr>
        <w:t xml:space="preserve">Gamificação em cibersegurança</w:t>
      </w:r>
      <w:r w:rsidDel="00000000" w:rsidR="00000000" w:rsidRPr="00000000">
        <w:rPr>
          <w:sz w:val="24"/>
          <w:szCs w:val="24"/>
          <w:rtl w:val="0"/>
        </w:rPr>
        <w:t xml:space="preserve">. Disponível em: &lt;https://www.tjsc.jus.br/web/tecnologia-da-informacao/gamificacao-em-ciberseguranca&gt;. Acesso em 02 out. 2022.</w:t>
      </w:r>
    </w:p>
    <w:p w:rsidR="00000000" w:rsidDel="00000000" w:rsidP="00000000" w:rsidRDefault="00000000" w:rsidRPr="00000000" w14:paraId="00000067">
      <w:pPr>
        <w:spacing w:after="120" w:line="240" w:lineRule="auto"/>
        <w:rPr>
          <w:sz w:val="24"/>
          <w:szCs w:val="24"/>
        </w:rPr>
        <w:sectPr>
          <w:pgSz w:h="16834" w:w="11909" w:orient="portrait"/>
          <w:pgMar w:bottom="1133.8582677165355" w:top="1700.7874015748032" w:left="1700.7874015748032" w:right="1133.8582677165355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line="360" w:lineRule="auto"/>
        <w:ind w:left="425.19685039370086" w:hanging="360"/>
        <w:jc w:val="both"/>
        <w:rPr>
          <w:b w:val="1"/>
          <w:sz w:val="24"/>
          <w:szCs w:val="24"/>
        </w:rPr>
      </w:pPr>
      <w:bookmarkStart w:colFirst="0" w:colLast="0" w:name="_g6tnv8wngcn8" w:id="4"/>
      <w:bookmarkEnd w:id="4"/>
      <w:r w:rsidDel="00000000" w:rsidR="00000000" w:rsidRPr="00000000">
        <w:rPr>
          <w:b w:val="1"/>
          <w:sz w:val="24"/>
          <w:szCs w:val="24"/>
          <w:rtl w:val="0"/>
        </w:rPr>
        <w:t xml:space="preserve">TABELA DE PARTICIPAÇÃO</w:t>
        <w:br w:type="textWrapping"/>
      </w:r>
      <w:r w:rsidDel="00000000" w:rsidR="00000000" w:rsidRPr="00000000">
        <w:rPr>
          <w:rtl w:val="0"/>
        </w:rPr>
      </w:r>
    </w:p>
    <w:tbl>
      <w:tblPr>
        <w:tblStyle w:val="Table1"/>
        <w:tblW w:w="13965.0" w:type="dxa"/>
        <w:jc w:val="left"/>
        <w:tblInd w:w="100.0" w:type="pct"/>
        <w:tblBorders>
          <w:top w:color="b7b7b7" w:space="0" w:sz="8" w:val="single"/>
          <w:left w:color="b7b7b7" w:space="0" w:sz="8" w:val="single"/>
          <w:bottom w:color="b7b7b7" w:space="0" w:sz="8" w:val="single"/>
          <w:right w:color="b7b7b7" w:space="0" w:sz="8" w:val="single"/>
          <w:insideH w:color="b7b7b7" w:space="0" w:sz="8" w:val="single"/>
          <w:insideV w:color="b7b7b7" w:space="0" w:sz="8" w:val="single"/>
        </w:tblBorders>
        <w:tblLayout w:type="fixed"/>
        <w:tblLook w:val="0600"/>
      </w:tblPr>
      <w:tblGrid>
        <w:gridCol w:w="2205"/>
        <w:gridCol w:w="1960"/>
        <w:gridCol w:w="1960"/>
        <w:gridCol w:w="1960"/>
        <w:gridCol w:w="1960"/>
        <w:gridCol w:w="1960"/>
        <w:gridCol w:w="1960"/>
        <w:tblGridChange w:id="0">
          <w:tblGrid>
            <w:gridCol w:w="2205"/>
            <w:gridCol w:w="1960"/>
            <w:gridCol w:w="1960"/>
            <w:gridCol w:w="1960"/>
            <w:gridCol w:w="1960"/>
            <w:gridCol w:w="1960"/>
            <w:gridCol w:w="1960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Participantes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Escolha do tema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Elaboração temática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Elaboração da pesquisa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Análise de dados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Referências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Estruturação do trabalho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Gustavo Henrique Stahl Müller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Paulo Henrique Rohling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</w:p>
        </w:tc>
      </w:tr>
    </w:tbl>
    <w:p w:rsidR="00000000" w:rsidDel="00000000" w:rsidP="00000000" w:rsidRDefault="00000000" w:rsidRPr="00000000" w14:paraId="0000007E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360" w:lineRule="auto"/>
        <w:jc w:val="both"/>
        <w:rPr>
          <w:b w:val="1"/>
          <w:sz w:val="24"/>
          <w:szCs w:val="24"/>
        </w:rPr>
      </w:pPr>
      <w:bookmarkStart w:colFirst="0" w:colLast="0" w:name="_791gpaygqthw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360" w:lineRule="auto"/>
        <w:ind w:left="0" w:firstLine="0"/>
        <w:jc w:val="both"/>
        <w:rPr/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rtl w:val="0"/>
        </w:rPr>
      </w:r>
    </w:p>
    <w:sectPr>
      <w:type w:val="nextPage"/>
      <w:pgSz w:h="11909" w:w="16834" w:orient="landscape"/>
      <w:pgMar w:bottom="1133.8582677165355" w:top="1700.7874015748032" w:left="1700.7874015748032" w:right="1133.8582677165355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2770" w:hanging="360"/>
      </w:pPr>
      <w:rPr/>
    </w:lvl>
    <w:lvl w:ilvl="1">
      <w:start w:val="1"/>
      <w:numFmt w:val="decimal"/>
      <w:lvlText w:val="%1.%2."/>
      <w:lvlJc w:val="left"/>
      <w:pPr>
        <w:ind w:left="1429" w:hanging="720"/>
      </w:pPr>
      <w:rPr/>
    </w:lvl>
    <w:lvl w:ilvl="2">
      <w:start w:val="1"/>
      <w:numFmt w:val="decimal"/>
      <w:lvlText w:val="%1.%2.%3."/>
      <w:lvlJc w:val="left"/>
      <w:pPr>
        <w:ind w:left="1778" w:hanging="720"/>
      </w:pPr>
      <w:rPr/>
    </w:lvl>
    <w:lvl w:ilvl="3">
      <w:start w:val="1"/>
      <w:numFmt w:val="decimal"/>
      <w:lvlText w:val="%1.%2.%3.%4."/>
      <w:lvlJc w:val="left"/>
      <w:pPr>
        <w:ind w:left="2487" w:hanging="1080"/>
      </w:pPr>
      <w:rPr/>
    </w:lvl>
    <w:lvl w:ilvl="4">
      <w:start w:val="1"/>
      <w:numFmt w:val="decimal"/>
      <w:lvlText w:val="%1.%2.%3.%4.%5."/>
      <w:lvlJc w:val="left"/>
      <w:pPr>
        <w:ind w:left="2836" w:hanging="1079.9999999999998"/>
      </w:pPr>
      <w:rPr/>
    </w:lvl>
    <w:lvl w:ilvl="5">
      <w:start w:val="1"/>
      <w:numFmt w:val="decimal"/>
      <w:lvlText w:val="%1.%2.%3.%4.%5.%6."/>
      <w:lvlJc w:val="left"/>
      <w:pPr>
        <w:ind w:left="3545" w:hanging="1440"/>
      </w:pPr>
      <w:rPr/>
    </w:lvl>
    <w:lvl w:ilvl="6">
      <w:start w:val="1"/>
      <w:numFmt w:val="decimal"/>
      <w:lvlText w:val="%1.%2.%3.%4.%5.%6.%7."/>
      <w:lvlJc w:val="left"/>
      <w:pPr>
        <w:ind w:left="3894" w:hanging="1440"/>
      </w:pPr>
      <w:rPr/>
    </w:lvl>
    <w:lvl w:ilvl="7">
      <w:start w:val="1"/>
      <w:numFmt w:val="decimal"/>
      <w:lvlText w:val="%1.%2.%3.%4.%5.%6.%7.%8."/>
      <w:lvlJc w:val="left"/>
      <w:pPr>
        <w:ind w:left="4603" w:hanging="1800"/>
      </w:pPr>
      <w:rPr/>
    </w:lvl>
    <w:lvl w:ilvl="8">
      <w:start w:val="1"/>
      <w:numFmt w:val="decimal"/>
      <w:lvlText w:val="%1.%2.%3.%4.%5.%6.%7.%8.%9."/>
      <w:lvlJc w:val="left"/>
      <w:pPr>
        <w:ind w:left="5312" w:hanging="2159.9999999999995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