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E97719">
        <w:rPr>
          <w:b/>
          <w:sz w:val="20"/>
          <w:szCs w:val="20"/>
        </w:rPr>
        <w:t>ÁGUA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{{Municipio}}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462697C8" w14:textId="00094E08" w:rsidR="008E1B4A" w:rsidRDefault="008E1B4A">
      <w:pPr>
        <w:spacing w:before="240" w:after="240" w:line="240" w:lineRule="auto"/>
        <w:rPr>
          <w:sz w:val="20"/>
          <w:szCs w:val="20"/>
        </w:rPr>
      </w:pPr>
      <w:bookmarkStart w:id="0" w:name="_Hlk208477674"/>
      <w:r w:rsidRPr="008E1B4A">
        <w:rPr>
          <w:sz w:val="20"/>
          <w:szCs w:val="20"/>
        </w:rPr>
        <w:t xml:space="preserve">APÊNDICE </w:t>
      </w:r>
      <w:r w:rsidR="0035375E">
        <w:rPr>
          <w:sz w:val="20"/>
          <w:szCs w:val="20"/>
        </w:rPr>
        <w:t>2</w:t>
      </w:r>
      <w:r w:rsidRPr="008E1B4A">
        <w:rPr>
          <w:sz w:val="20"/>
          <w:szCs w:val="20"/>
        </w:rPr>
        <w:t xml:space="preserve"> – CONDIÇÕES GERAIS</w:t>
      </w:r>
    </w:p>
    <w:p w14:paraId="488CEFCB" w14:textId="53ADF49B" w:rsidR="0035375E" w:rsidRDefault="0035375E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APÊNDICE </w:t>
      </w:r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- QUALIDADE DA ÁGUA</w:t>
      </w:r>
    </w:p>
    <w:bookmarkEnd w:id="0"/>
    <w:p w14:paraId="47D1295B" w14:textId="30DA6A23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Nesse sentido, a Coordenadoria de Saneamento da Arpe (CSAN) desempenha um papel fundamental, através de ações regulatórias e de fiscalização, estrategicamente alinhadas à sua Agenda Regulatória, com o objetivo de realizar análises das unidades operacionais dos SAAs e de SESs,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dos </w:t>
      </w:r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 xml:space="preserve">s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</w:t>
      </w:r>
      <w:r>
        <w:rPr>
          <w:sz w:val="20"/>
          <w:szCs w:val="20"/>
        </w:rPr>
        <w:lastRenderedPageBreak/>
        <w:t>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 xml:space="preserve">{{Municipio}}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SASs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r>
        <w:rPr>
          <w:sz w:val="20"/>
          <w:szCs w:val="20"/>
          <w:highlight w:val="yellow"/>
        </w:rPr>
        <w:t>xx de 2024 e yy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C864BE" w:rsidRPr="00C864BE">
        <w:rPr>
          <w:color w:val="EE0000"/>
          <w:sz w:val="20"/>
          <w:szCs w:val="20"/>
        </w:rPr>
        <w:t>{{</w:t>
      </w:r>
      <w:r w:rsidR="00E97719">
        <w:rPr>
          <w:color w:val="EE0000"/>
          <w:sz w:val="20"/>
          <w:szCs w:val="20"/>
        </w:rPr>
        <w:t>SAA</w:t>
      </w:r>
      <w:r w:rsidR="00C864BE">
        <w:rPr>
          <w:color w:val="EE0000"/>
          <w:sz w:val="20"/>
          <w:szCs w:val="20"/>
        </w:rPr>
        <w:t xml:space="preserve">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boa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3BD8A86A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r w:rsidR="008313B0" w:rsidRPr="008313B0">
        <w:rPr>
          <w:color w:val="FF0000"/>
          <w:sz w:val="20"/>
          <w:szCs w:val="20"/>
        </w:rPr>
        <w:t>Período da Fiscalização</w:t>
      </w:r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NCs do </w:t>
      </w:r>
      <w:r w:rsidR="00CD7335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 xml:space="preserve">Obs: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>"A última fiscalização aconteceu em 2018 com a constatação de 35 (trinta e cinco) NCs, em 2023 aconteceu a fiscalização de retorno, com a verificação de 7 (sete) NCs. A mais recente fiscalização resultou em 23 (vinte e três) NCs.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Presença de vários pontos de vazamento no corpo do RAP - Murupé,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EEab - Vertentinha,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b/>
          <w:sz w:val="20"/>
          <w:szCs w:val="20"/>
        </w:rPr>
        <w:t>Obs: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Murupé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ETAs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Vertentinha), ETA (saídas da ETA Murupé e ETA Vicência) e Reservatórios (diversos pontos na cidade, como Rua Bairro Novo e Rua Maria Albertins).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recoletas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ETAs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recoleta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NCs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Seguir o fluxo de trabalho intersetorial entre o MPPE, Vigiagua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A(s) unidade(s) XX e YY estavam paralisada(s). Assim, a espera-se que a prestadora encaminhe os devidos esclarecimentos em relação a paralisação em conformidade com os Arts.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ETAs fiscalizadas estavam certificadas pelas ISOs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Ação para presença de Coliformes Totais nas ETAs e E.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Plano de Ação para presença de Coliformes Totais nas ETAs e E.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boa,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B30BD2B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618C427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337E2284" w14:textId="77777777" w:rsidR="000B5F66" w:rsidRDefault="000B5F6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6911D32A" w14:textId="1622196F" w:rsidR="00797BD6" w:rsidRPr="00797BD6" w:rsidRDefault="00797BD6" w:rsidP="00797BD6">
      <w:pPr>
        <w:spacing w:before="240" w:after="240" w:line="240" w:lineRule="auto"/>
        <w:rPr>
          <w:b/>
          <w:bCs/>
          <w:sz w:val="20"/>
          <w:szCs w:val="20"/>
        </w:rPr>
      </w:pPr>
      <w:r w:rsidRPr="00797BD6">
        <w:rPr>
          <w:b/>
          <w:bCs/>
          <w:sz w:val="20"/>
          <w:szCs w:val="20"/>
        </w:rPr>
        <w:t xml:space="preserve">APÊNDICE </w:t>
      </w:r>
      <w:r w:rsidR="0035375E">
        <w:rPr>
          <w:b/>
          <w:bCs/>
          <w:sz w:val="20"/>
          <w:szCs w:val="20"/>
        </w:rPr>
        <w:t>2</w:t>
      </w:r>
      <w:r w:rsidRPr="00797BD6">
        <w:rPr>
          <w:b/>
          <w:bCs/>
          <w:sz w:val="20"/>
          <w:szCs w:val="20"/>
        </w:rPr>
        <w:t xml:space="preserve"> – CONDIÇÕES GERAIS</w:t>
      </w:r>
    </w:p>
    <w:p w14:paraId="3D614591" w14:textId="77777777" w:rsidR="001E0773" w:rsidRPr="00797BD6" w:rsidRDefault="001E0773">
      <w:pPr>
        <w:spacing w:before="240" w:after="240" w:line="240" w:lineRule="auto"/>
        <w:rPr>
          <w:bCs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{{Municipio}}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B5F66"/>
    <w:rsid w:val="000D4BC8"/>
    <w:rsid w:val="000E014B"/>
    <w:rsid w:val="000E1456"/>
    <w:rsid w:val="001E0773"/>
    <w:rsid w:val="001F6FA6"/>
    <w:rsid w:val="00262BD4"/>
    <w:rsid w:val="002B42AA"/>
    <w:rsid w:val="002E240F"/>
    <w:rsid w:val="002E4A45"/>
    <w:rsid w:val="002E64E8"/>
    <w:rsid w:val="0034303A"/>
    <w:rsid w:val="0035375E"/>
    <w:rsid w:val="0037372E"/>
    <w:rsid w:val="003B38F3"/>
    <w:rsid w:val="003C61D8"/>
    <w:rsid w:val="0042353D"/>
    <w:rsid w:val="00437745"/>
    <w:rsid w:val="004A60D7"/>
    <w:rsid w:val="004C5C7E"/>
    <w:rsid w:val="0051012E"/>
    <w:rsid w:val="005A7132"/>
    <w:rsid w:val="005D053C"/>
    <w:rsid w:val="005E0400"/>
    <w:rsid w:val="005E31A8"/>
    <w:rsid w:val="00631A88"/>
    <w:rsid w:val="00682AEE"/>
    <w:rsid w:val="006D2AFA"/>
    <w:rsid w:val="00725154"/>
    <w:rsid w:val="00771B60"/>
    <w:rsid w:val="00792B2B"/>
    <w:rsid w:val="00797BD6"/>
    <w:rsid w:val="007A609A"/>
    <w:rsid w:val="007B76BB"/>
    <w:rsid w:val="0080446F"/>
    <w:rsid w:val="008313B0"/>
    <w:rsid w:val="008C51D5"/>
    <w:rsid w:val="008E1B4A"/>
    <w:rsid w:val="00942871"/>
    <w:rsid w:val="009469FB"/>
    <w:rsid w:val="009A1307"/>
    <w:rsid w:val="009E73FA"/>
    <w:rsid w:val="00A334C2"/>
    <w:rsid w:val="00A73ACA"/>
    <w:rsid w:val="00A76ADB"/>
    <w:rsid w:val="00B727B7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BD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2868</Words>
  <Characters>15488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42</cp:revision>
  <dcterms:created xsi:type="dcterms:W3CDTF">2025-07-28T11:42:00Z</dcterms:created>
  <dcterms:modified xsi:type="dcterms:W3CDTF">2025-09-11T13:10:00Z</dcterms:modified>
</cp:coreProperties>
</file>